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6F1192" w:rsidP="003D1B12">
      <w:pPr>
        <w:pStyle w:val="Nagwek9"/>
        <w:spacing w:before="0" w:after="0"/>
        <w:jc w:val="right"/>
        <w:rPr>
          <w:rFonts w:ascii="Calibri" w:hAnsi="Calibri" w:cs="Tahoma"/>
          <w:i/>
          <w:sz w:val="18"/>
          <w:szCs w:val="18"/>
        </w:rPr>
      </w:pPr>
      <w:r>
        <w:rPr>
          <w:rFonts w:ascii="Calibri" w:hAnsi="Calibri" w:cs="Tahoma"/>
          <w:i/>
          <w:sz w:val="18"/>
          <w:szCs w:val="18"/>
        </w:rPr>
        <w:t>Zał. Nr 3</w:t>
      </w:r>
      <w:r w:rsidR="00CC73D1"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strza  –  mgr Otolię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6F1192"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w:t>
      </w:r>
      <w:r w:rsidR="006F1192">
        <w:rPr>
          <w:rFonts w:ascii="Calibri" w:hAnsi="Calibri" w:cs="Tahoma"/>
          <w:sz w:val="23"/>
          <w:szCs w:val="23"/>
        </w:rPr>
        <w:t xml:space="preserve">                          </w:t>
      </w:r>
      <w:r w:rsidRPr="00351C34">
        <w:rPr>
          <w:rFonts w:ascii="Calibri" w:hAnsi="Calibri" w:cs="Tahoma"/>
          <w:sz w:val="23"/>
          <w:szCs w:val="23"/>
        </w:rPr>
        <w:t xml:space="preserve">pn. </w:t>
      </w:r>
      <w:r w:rsidRPr="00351C34">
        <w:rPr>
          <w:rFonts w:ascii="Calibri" w:hAnsi="Calibri" w:cs="Tahoma"/>
          <w:b/>
          <w:sz w:val="23"/>
          <w:szCs w:val="23"/>
        </w:rPr>
        <w:t>„</w:t>
      </w:r>
      <w:r w:rsidR="00B502D0">
        <w:rPr>
          <w:rFonts w:ascii="Calibri" w:hAnsi="Calibri" w:cs="Tahoma"/>
          <w:b/>
          <w:sz w:val="23"/>
          <w:szCs w:val="23"/>
        </w:rPr>
        <w:t xml:space="preserve"> Przebudowa schodów terenowych i budowa chodnika w ramach zadania „Przebudowa kładki pieszej od </w:t>
      </w:r>
      <w:r w:rsidR="00F55BF9">
        <w:rPr>
          <w:rFonts w:ascii="Calibri" w:hAnsi="Calibri" w:cs="Tahoma"/>
          <w:b/>
          <w:sz w:val="23"/>
          <w:szCs w:val="23"/>
        </w:rPr>
        <w:t>os.</w:t>
      </w:r>
      <w:r w:rsidR="00B502D0">
        <w:rPr>
          <w:rFonts w:ascii="Calibri" w:hAnsi="Calibri" w:cs="Tahoma"/>
          <w:b/>
          <w:sz w:val="23"/>
          <w:szCs w:val="23"/>
        </w:rPr>
        <w:t>Parkowego</w:t>
      </w:r>
      <w:r w:rsidRPr="00351C34">
        <w:rPr>
          <w:rFonts w:ascii="Calibri" w:hAnsi="Calibri" w:cs="Tahoma"/>
          <w:b/>
          <w:sz w:val="23"/>
          <w:szCs w:val="23"/>
        </w:rPr>
        <w:t>”</w:t>
      </w:r>
      <w:r w:rsidRPr="00351C34">
        <w:rPr>
          <w:rFonts w:ascii="Calibri" w:hAnsi="Calibri" w:cs="Tahoma"/>
          <w:sz w:val="23"/>
          <w:szCs w:val="23"/>
        </w:rPr>
        <w:t>.</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zobowiązuje się do oddania ww. obiektu budowlanego wykonanego zgodnie </w:t>
      </w:r>
      <w:r w:rsidR="006F1192">
        <w:rPr>
          <w:rFonts w:ascii="Calibri" w:hAnsi="Calibri" w:cs="Tahoma"/>
          <w:sz w:val="23"/>
          <w:szCs w:val="23"/>
        </w:rPr>
        <w:t xml:space="preserve">                              </w:t>
      </w:r>
      <w:r w:rsidRPr="00351C34">
        <w:rPr>
          <w:rFonts w:ascii="Calibri" w:hAnsi="Calibri" w:cs="Tahoma"/>
          <w:sz w:val="23"/>
          <w:szCs w:val="23"/>
        </w:rPr>
        <w:t>z zapytaniem ofertowym, zasadami wiedzy technicznej, obowiązującymi w tym zakresie przepisami szczegółowymi oraz polskimi normami wprowadzającymi normy europejskie lub europejskie aprobaty techniczne i kompletny z punktu widzenia celu, któremu ma służyć.</w:t>
      </w:r>
    </w:p>
    <w:p w:rsidR="006F1192" w:rsidRPr="00351C34" w:rsidRDefault="006F1192" w:rsidP="006F1192">
      <w:pPr>
        <w:pStyle w:val="Akapitzlist"/>
        <w:autoSpaceDE w:val="0"/>
        <w:autoSpaceDN w:val="0"/>
        <w:adjustRightInd w:val="0"/>
        <w:ind w:left="360"/>
        <w:jc w:val="both"/>
        <w:rPr>
          <w:rFonts w:ascii="Calibri" w:hAnsi="Calibri" w:cs="Tahoma"/>
          <w:sz w:val="23"/>
          <w:szCs w:val="23"/>
        </w:rPr>
      </w:pPr>
    </w:p>
    <w:p w:rsidR="00CC73D1" w:rsidRDefault="00CC73D1" w:rsidP="006F1192">
      <w:pPr>
        <w:pStyle w:val="Akapitzlist"/>
        <w:numPr>
          <w:ilvl w:val="0"/>
          <w:numId w:val="6"/>
        </w:numPr>
        <w:jc w:val="both"/>
        <w:rPr>
          <w:rFonts w:ascii="Calibri" w:hAnsi="Calibri" w:cs="Tahoma"/>
          <w:b/>
          <w:sz w:val="23"/>
          <w:szCs w:val="23"/>
        </w:rPr>
      </w:pPr>
      <w:r w:rsidRPr="00351C34">
        <w:rPr>
          <w:rFonts w:ascii="Calibri" w:hAnsi="Calibri" w:cs="Tahoma"/>
          <w:b/>
          <w:sz w:val="23"/>
          <w:szCs w:val="23"/>
        </w:rPr>
        <w:t>Przedmiot zamówienia obejmuje:</w:t>
      </w:r>
    </w:p>
    <w:p w:rsidR="00B502D0" w:rsidRDefault="00B502D0" w:rsidP="00B502D0">
      <w:pPr>
        <w:ind w:left="360"/>
        <w:jc w:val="both"/>
        <w:rPr>
          <w:rFonts w:ascii="Calibri" w:hAnsi="Calibri" w:cs="Arial"/>
        </w:rPr>
      </w:pPr>
      <w:r>
        <w:rPr>
          <w:rFonts w:ascii="Calibri" w:hAnsi="Calibri" w:cs="Arial"/>
        </w:rPr>
        <w:t xml:space="preserve">Przedmiotem zamówienia jest wykonanie przebudowy schodów terenowych prowadzących do kładki dla pieszych od osiedla Parkowego oraz budowa chodnika łączącego osiedle Parkowe                       z kładką dla pieszych w Mrągowie na działkach o nr 3- 15/3, </w:t>
      </w:r>
      <w:r w:rsidR="00A07D93">
        <w:rPr>
          <w:rFonts w:ascii="Calibri" w:hAnsi="Calibri" w:cs="Arial"/>
        </w:rPr>
        <w:t>4-7/2, 4-3/28, 4-3/70 .</w:t>
      </w:r>
    </w:p>
    <w:p w:rsidR="00A07D93" w:rsidRPr="00A07D93" w:rsidRDefault="00A07D93" w:rsidP="00B502D0">
      <w:pPr>
        <w:ind w:left="360"/>
        <w:jc w:val="both"/>
        <w:rPr>
          <w:rFonts w:ascii="Calibri" w:hAnsi="Calibri" w:cs="Arial"/>
          <w:sz w:val="16"/>
          <w:szCs w:val="16"/>
        </w:rPr>
      </w:pPr>
    </w:p>
    <w:p w:rsidR="00B502D0" w:rsidRPr="00BC0F36" w:rsidRDefault="00B502D0" w:rsidP="00B502D0">
      <w:pPr>
        <w:spacing w:before="60"/>
        <w:jc w:val="both"/>
        <w:rPr>
          <w:rFonts w:ascii="Calibri" w:hAnsi="Calibri" w:cs="Tahoma"/>
          <w:b/>
          <w:sz w:val="22"/>
          <w:szCs w:val="22"/>
        </w:rPr>
      </w:pPr>
      <w:r w:rsidRPr="00BC0F36">
        <w:rPr>
          <w:rFonts w:ascii="Calibri" w:hAnsi="Calibri" w:cs="Tahoma"/>
          <w:b/>
          <w:sz w:val="22"/>
          <w:szCs w:val="22"/>
        </w:rPr>
        <w:t>Zakres robót do wykonania:</w:t>
      </w:r>
    </w:p>
    <w:p w:rsidR="00B502D0" w:rsidRDefault="00B502D0" w:rsidP="00B502D0">
      <w:pPr>
        <w:pStyle w:val="Akapitzlist1"/>
        <w:ind w:left="0"/>
        <w:jc w:val="both"/>
        <w:rPr>
          <w:rFonts w:ascii="Calibri" w:hAnsi="Calibri" w:cs="Arial"/>
        </w:rPr>
      </w:pPr>
      <w:r>
        <w:rPr>
          <w:rFonts w:ascii="Calibri" w:hAnsi="Calibri" w:cs="Arial"/>
        </w:rPr>
        <w:t xml:space="preserve">- </w:t>
      </w:r>
      <w:r>
        <w:rPr>
          <w:rFonts w:ascii="Calibri" w:hAnsi="Calibri" w:cs="Arial"/>
          <w:u w:val="single"/>
        </w:rPr>
        <w:t>Przebudowa schodów terenowych</w:t>
      </w:r>
      <w:r>
        <w:rPr>
          <w:rFonts w:ascii="Calibri" w:hAnsi="Calibri" w:cs="Arial"/>
        </w:rPr>
        <w:t xml:space="preserve">- powierzchnia schodów ok. 11,0m2 - rozbiórka istniejących betonowych schodów, budowa nowej nawierzchni z kostki brukowej betonowej gr 6cm na podsypce cementowo-piaskowej gr.4cm na podbudowie z betonu C12/15 gr. 10cm ( spoczniki –podbudowa  kruszywo łamane  KLSM 0/31,5 ), montaż balustrady schodowej mb 17,6- wysokości 110cm, </w:t>
      </w:r>
    </w:p>
    <w:p w:rsidR="00B502D0" w:rsidRDefault="00B502D0" w:rsidP="00B502D0">
      <w:pPr>
        <w:pStyle w:val="Akapitzlist1"/>
        <w:ind w:left="0"/>
        <w:jc w:val="both"/>
        <w:rPr>
          <w:rFonts w:ascii="Calibri" w:hAnsi="Calibri" w:cs="Tahoma"/>
          <w:sz w:val="16"/>
          <w:szCs w:val="16"/>
        </w:rPr>
      </w:pPr>
    </w:p>
    <w:p w:rsidR="00B502D0" w:rsidRDefault="00B502D0" w:rsidP="00B502D0">
      <w:pPr>
        <w:pStyle w:val="Akapitzlist1"/>
        <w:ind w:left="0"/>
        <w:jc w:val="both"/>
        <w:rPr>
          <w:rFonts w:ascii="Calibri" w:hAnsi="Calibri" w:cs="Tahoma"/>
        </w:rPr>
      </w:pPr>
      <w:r>
        <w:rPr>
          <w:rFonts w:ascii="Calibri" w:hAnsi="Calibri" w:cs="Tahoma"/>
        </w:rPr>
        <w:t xml:space="preserve">- </w:t>
      </w:r>
      <w:r>
        <w:rPr>
          <w:rFonts w:ascii="Calibri" w:hAnsi="Calibri" w:cs="Tahoma"/>
          <w:u w:val="single"/>
        </w:rPr>
        <w:t>Budowa chodnika z kostki brukowej betonowej</w:t>
      </w:r>
      <w:r>
        <w:rPr>
          <w:rFonts w:ascii="Calibri" w:hAnsi="Calibri" w:cs="Tahoma"/>
        </w:rPr>
        <w:t xml:space="preserve"> –powierzchnia chodnika ok. 193 m2, konstrukcja nawierzchni chodnika-kostka brukowa gr.6cm, podsypka cementowo-piaskowa 1:4 gr.4cm, podbudowa z KŁSM 0/31,5 gr.10cm, ulepszone podłoże z pospółki gr 10cm, istniejące podłoże gruntowe.</w:t>
      </w:r>
    </w:p>
    <w:p w:rsidR="00B502D0" w:rsidRDefault="00B502D0" w:rsidP="00B502D0">
      <w:pPr>
        <w:pStyle w:val="Akapitzlist1"/>
        <w:ind w:left="0"/>
        <w:jc w:val="both"/>
        <w:rPr>
          <w:rFonts w:ascii="Calibri" w:hAnsi="Calibri" w:cs="Tahoma"/>
          <w:sz w:val="16"/>
          <w:szCs w:val="16"/>
        </w:rPr>
      </w:pPr>
    </w:p>
    <w:p w:rsidR="00B502D0" w:rsidRDefault="00B502D0" w:rsidP="00B502D0">
      <w:pPr>
        <w:pStyle w:val="Akapitzlist1"/>
        <w:ind w:left="0"/>
        <w:jc w:val="both"/>
        <w:rPr>
          <w:rFonts w:ascii="Calibri" w:hAnsi="Calibri" w:cs="Tahoma"/>
        </w:rPr>
      </w:pPr>
      <w:r>
        <w:rPr>
          <w:rFonts w:ascii="Calibri" w:hAnsi="Calibri" w:cs="Tahoma"/>
        </w:rPr>
        <w:t xml:space="preserve">- </w:t>
      </w:r>
      <w:r>
        <w:rPr>
          <w:rFonts w:ascii="Calibri" w:hAnsi="Calibri" w:cs="Tahoma"/>
          <w:u w:val="single"/>
        </w:rPr>
        <w:t>Wycinka drzew-</w:t>
      </w:r>
      <w:r w:rsidR="005C3896">
        <w:rPr>
          <w:rFonts w:ascii="Calibri" w:hAnsi="Calibri" w:cs="Tahoma"/>
          <w:u w:val="single"/>
        </w:rPr>
        <w:t xml:space="preserve"> </w:t>
      </w:r>
      <w:r>
        <w:rPr>
          <w:rFonts w:ascii="Calibri" w:hAnsi="Calibri" w:cs="Tahoma"/>
          <w:u w:val="single"/>
        </w:rPr>
        <w:t>3szt</w:t>
      </w:r>
      <w:r>
        <w:rPr>
          <w:rFonts w:ascii="Calibri" w:hAnsi="Calibri" w:cs="Tahoma"/>
        </w:rPr>
        <w:t xml:space="preserve">- Nr 1 obwód na wysokości 130cm 80cm-jesion, Nr 2-obwód na wysokości 130cm 70cm –jesion, Nr 3 –obwód na wysokości 130cm 70cm –klon </w:t>
      </w:r>
    </w:p>
    <w:p w:rsidR="00B502D0" w:rsidRDefault="00B502D0" w:rsidP="00B502D0">
      <w:pPr>
        <w:pStyle w:val="Akapitzlist1"/>
        <w:ind w:left="0"/>
        <w:jc w:val="both"/>
        <w:rPr>
          <w:rFonts w:ascii="Calibri" w:hAnsi="Calibri" w:cs="Tahoma"/>
          <w:sz w:val="16"/>
          <w:szCs w:val="16"/>
        </w:rPr>
      </w:pPr>
    </w:p>
    <w:p w:rsidR="00B502D0" w:rsidRDefault="00B502D0" w:rsidP="00B502D0">
      <w:pPr>
        <w:pStyle w:val="Akapitzlist1"/>
        <w:ind w:left="0"/>
        <w:jc w:val="both"/>
        <w:rPr>
          <w:rFonts w:ascii="Calibri" w:hAnsi="Calibri" w:cs="Tahoma"/>
        </w:rPr>
      </w:pPr>
      <w:r>
        <w:rPr>
          <w:rFonts w:ascii="Calibri" w:hAnsi="Calibri" w:cs="Tahoma"/>
        </w:rPr>
        <w:t>-</w:t>
      </w:r>
      <w:r>
        <w:rPr>
          <w:rFonts w:ascii="Calibri" w:hAnsi="Calibri" w:cs="Tahoma"/>
          <w:u w:val="single"/>
        </w:rPr>
        <w:t>Wykonanie nasadzeń zastępczych</w:t>
      </w:r>
      <w:r>
        <w:rPr>
          <w:rFonts w:ascii="Calibri" w:hAnsi="Calibri" w:cs="Tahoma"/>
        </w:rPr>
        <w:t xml:space="preserve"> - 35szt, dereń biały, pojemnikowany C3, rozkrzewiony 3 pędy</w:t>
      </w:r>
    </w:p>
    <w:p w:rsidR="00B502D0" w:rsidRDefault="00B502D0" w:rsidP="00B502D0">
      <w:pPr>
        <w:pStyle w:val="Akapitzlist1"/>
        <w:ind w:left="0"/>
        <w:jc w:val="both"/>
        <w:rPr>
          <w:rFonts w:ascii="Calibri" w:hAnsi="Calibri" w:cs="Tahoma"/>
        </w:rPr>
      </w:pPr>
      <w:r>
        <w:rPr>
          <w:rFonts w:ascii="Calibri" w:hAnsi="Calibri" w:cs="Tahoma"/>
        </w:rPr>
        <w:t xml:space="preserve"> na terenie działki nr 41/21 obręb 4 –lokalizacja nasadzeń wg planu nasadzeń zastępczych.</w:t>
      </w:r>
    </w:p>
    <w:p w:rsidR="00B502D0" w:rsidRDefault="00B502D0" w:rsidP="00B502D0">
      <w:pPr>
        <w:pStyle w:val="Akapitzlist1"/>
        <w:ind w:left="0"/>
        <w:jc w:val="both"/>
        <w:rPr>
          <w:rFonts w:ascii="Calibri" w:hAnsi="Calibri" w:cs="Tahoma"/>
          <w:sz w:val="16"/>
          <w:szCs w:val="16"/>
        </w:rPr>
      </w:pPr>
    </w:p>
    <w:p w:rsidR="006F1192" w:rsidRDefault="00687DFD" w:rsidP="006F1192">
      <w:pPr>
        <w:pStyle w:val="WW-Tekstpodstawowy2"/>
        <w:tabs>
          <w:tab w:val="left" w:pos="540"/>
        </w:tabs>
        <w:suppressAutoHyphens w:val="0"/>
        <w:spacing w:before="240"/>
        <w:rPr>
          <w:rFonts w:ascii="Calibri" w:hAnsi="Calibri" w:cs="Tahoma"/>
          <w:b/>
          <w:bCs/>
          <w:color w:val="000000"/>
          <w:szCs w:val="24"/>
          <w:u w:val="single"/>
        </w:rPr>
      </w:pPr>
      <w:r>
        <w:rPr>
          <w:rFonts w:ascii="Calibri" w:hAnsi="Calibri" w:cs="Tahoma"/>
          <w:b/>
          <w:bCs/>
          <w:color w:val="000000"/>
          <w:szCs w:val="24"/>
          <w:u w:val="single"/>
        </w:rPr>
        <w:t>U</w:t>
      </w:r>
      <w:r w:rsidR="006F1192">
        <w:rPr>
          <w:rFonts w:ascii="Calibri" w:hAnsi="Calibri" w:cs="Tahoma"/>
          <w:b/>
          <w:bCs/>
          <w:color w:val="000000"/>
          <w:szCs w:val="24"/>
          <w:u w:val="single"/>
        </w:rPr>
        <w:t>wagi:</w:t>
      </w:r>
    </w:p>
    <w:p w:rsidR="006F1192" w:rsidRDefault="006F1192" w:rsidP="006F1192">
      <w:pPr>
        <w:pStyle w:val="WW-Tekstpodstawowy2"/>
        <w:numPr>
          <w:ilvl w:val="0"/>
          <w:numId w:val="38"/>
        </w:numPr>
        <w:suppressAutoHyphens w:val="0"/>
        <w:ind w:left="426"/>
        <w:rPr>
          <w:rFonts w:ascii="Calibri" w:hAnsi="Calibri" w:cs="Tahoma"/>
          <w:b/>
          <w:bCs/>
          <w:color w:val="000000"/>
          <w:szCs w:val="24"/>
          <w:u w:val="single"/>
        </w:rPr>
      </w:pPr>
      <w:r>
        <w:rPr>
          <w:rFonts w:ascii="Calibri" w:hAnsi="Calibri" w:cs="Tahoma"/>
          <w:color w:val="000000"/>
          <w:szCs w:val="24"/>
        </w:rPr>
        <w:t>Wykonawca jest zobowiązany dokonać we własnym zakresie i na własny koszt wizji w terenie oraz dokonać pomiarów i oględzin obiektów niezbędnych do realizacji zadania przed złożeniem oferty cenowej.</w:t>
      </w:r>
    </w:p>
    <w:p w:rsidR="006F1192" w:rsidRDefault="006F1192" w:rsidP="006F1192">
      <w:pPr>
        <w:pStyle w:val="WW-Tekstpodstawowy2"/>
        <w:numPr>
          <w:ilvl w:val="0"/>
          <w:numId w:val="38"/>
        </w:numPr>
        <w:suppressAutoHyphens w:val="0"/>
        <w:ind w:left="426"/>
        <w:rPr>
          <w:rFonts w:ascii="Calibri" w:hAnsi="Calibri" w:cs="Tahoma"/>
          <w:bCs/>
          <w:color w:val="000000"/>
          <w:szCs w:val="24"/>
        </w:rPr>
      </w:pPr>
      <w:r>
        <w:rPr>
          <w:rFonts w:ascii="Calibri" w:hAnsi="Calibri" w:cs="Tahoma"/>
          <w:bCs/>
          <w:color w:val="000000"/>
          <w:szCs w:val="24"/>
        </w:rPr>
        <w:t>Wykonawca zobowiązany jest zapewnić kierownika robót.</w:t>
      </w:r>
    </w:p>
    <w:p w:rsidR="006F1192" w:rsidRDefault="006F1192" w:rsidP="006F1192">
      <w:pPr>
        <w:pStyle w:val="Akapitzlist"/>
        <w:jc w:val="both"/>
        <w:rPr>
          <w:rFonts w:ascii="Calibri" w:hAnsi="Calibri" w:cs="Tahoma"/>
          <w:b/>
          <w:sz w:val="23"/>
          <w:szCs w:val="23"/>
        </w:rPr>
      </w:pPr>
    </w:p>
    <w:p w:rsidR="005C3896" w:rsidRDefault="005C3896" w:rsidP="006F1192">
      <w:pPr>
        <w:pStyle w:val="Akapitzlist"/>
        <w:jc w:val="both"/>
        <w:rPr>
          <w:rFonts w:ascii="Calibri" w:hAnsi="Calibri" w:cs="Tahoma"/>
          <w:b/>
          <w:sz w:val="23"/>
          <w:szCs w:val="23"/>
        </w:rPr>
      </w:pPr>
    </w:p>
    <w:p w:rsidR="003900A2" w:rsidRDefault="003900A2" w:rsidP="006F1192">
      <w:pPr>
        <w:pStyle w:val="Akapitzlist"/>
        <w:jc w:val="both"/>
        <w:rPr>
          <w:rFonts w:ascii="Calibri" w:hAnsi="Calibri" w:cs="Tahoma"/>
          <w:b/>
          <w:sz w:val="23"/>
          <w:szCs w:val="23"/>
        </w:rPr>
      </w:pPr>
    </w:p>
    <w:p w:rsidR="003900A2" w:rsidRPr="00351C34" w:rsidRDefault="003900A2" w:rsidP="006F1192">
      <w:pPr>
        <w:pStyle w:val="Akapitzlist"/>
        <w:jc w:val="both"/>
        <w:rPr>
          <w:rFonts w:ascii="Calibri" w:hAnsi="Calibri" w:cs="Tahoma"/>
          <w:b/>
          <w:sz w:val="23"/>
          <w:szCs w:val="23"/>
        </w:rPr>
      </w:pPr>
    </w:p>
    <w:p w:rsidR="00CC73D1" w:rsidRPr="00351C34" w:rsidRDefault="00CC73D1" w:rsidP="006F1192">
      <w:pPr>
        <w:pStyle w:val="Akapitzlist"/>
        <w:numPr>
          <w:ilvl w:val="0"/>
          <w:numId w:val="6"/>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lastRenderedPageBreak/>
        <w:t>Zakres i sposób wykonania robót określają następujące dokumenty:</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4F78E4" w:rsidRDefault="004F78E4" w:rsidP="006F1192">
      <w:pPr>
        <w:pStyle w:val="Akapitzlist"/>
        <w:numPr>
          <w:ilvl w:val="1"/>
          <w:numId w:val="6"/>
        </w:numPr>
        <w:autoSpaceDE w:val="0"/>
        <w:autoSpaceDN w:val="0"/>
        <w:adjustRightInd w:val="0"/>
        <w:ind w:left="426"/>
        <w:jc w:val="both"/>
        <w:rPr>
          <w:rFonts w:ascii="Calibri" w:hAnsi="Calibri" w:cs="Tahoma"/>
          <w:sz w:val="23"/>
          <w:szCs w:val="23"/>
        </w:rPr>
      </w:pPr>
      <w:r>
        <w:rPr>
          <w:rFonts w:ascii="Calibri" w:hAnsi="Calibri" w:cs="Tahoma"/>
          <w:sz w:val="23"/>
          <w:szCs w:val="23"/>
        </w:rPr>
        <w:t>Dokumentacja projektowa obejmująca :</w:t>
      </w:r>
    </w:p>
    <w:p w:rsidR="00CC73D1" w:rsidRDefault="004F78E4" w:rsidP="004F78E4">
      <w:pPr>
        <w:pStyle w:val="Akapitzlist"/>
        <w:autoSpaceDE w:val="0"/>
        <w:autoSpaceDN w:val="0"/>
        <w:adjustRightInd w:val="0"/>
        <w:ind w:left="426"/>
        <w:jc w:val="both"/>
        <w:rPr>
          <w:rFonts w:ascii="Calibri" w:hAnsi="Calibri" w:cs="Tahoma"/>
          <w:sz w:val="23"/>
          <w:szCs w:val="23"/>
        </w:rPr>
      </w:pPr>
      <w:r>
        <w:rPr>
          <w:rFonts w:ascii="Calibri" w:hAnsi="Calibri" w:cs="Tahoma"/>
          <w:sz w:val="23"/>
          <w:szCs w:val="23"/>
        </w:rPr>
        <w:t>-Projekt budowlany,</w:t>
      </w:r>
    </w:p>
    <w:p w:rsidR="004F78E4" w:rsidRDefault="00E34F4F" w:rsidP="004F78E4">
      <w:pPr>
        <w:pStyle w:val="Akapitzlist"/>
        <w:autoSpaceDE w:val="0"/>
        <w:autoSpaceDN w:val="0"/>
        <w:adjustRightInd w:val="0"/>
        <w:ind w:left="426"/>
        <w:jc w:val="both"/>
        <w:rPr>
          <w:rFonts w:ascii="Calibri" w:hAnsi="Calibri" w:cs="Tahoma"/>
          <w:sz w:val="23"/>
          <w:szCs w:val="23"/>
        </w:rPr>
      </w:pPr>
      <w:r>
        <w:rPr>
          <w:rFonts w:ascii="Calibri" w:hAnsi="Calibri" w:cs="Tahoma"/>
          <w:sz w:val="23"/>
          <w:szCs w:val="23"/>
        </w:rPr>
        <w:t>-Specyfikacje Techniczną Wykonania i Odbioru Robót</w:t>
      </w:r>
    </w:p>
    <w:p w:rsidR="00CC73D1" w:rsidRPr="00351C34" w:rsidRDefault="00CC73D1" w:rsidP="006F1192">
      <w:pPr>
        <w:pStyle w:val="Akapitzlist"/>
        <w:numPr>
          <w:ilvl w:val="1"/>
          <w:numId w:val="6"/>
        </w:numPr>
        <w:ind w:left="426"/>
        <w:jc w:val="both"/>
        <w:rPr>
          <w:rFonts w:ascii="Calibri" w:hAnsi="Calibri" w:cs="Tahoma"/>
          <w:sz w:val="23"/>
          <w:szCs w:val="23"/>
        </w:rPr>
      </w:pPr>
      <w:r w:rsidRPr="00351C34">
        <w:rPr>
          <w:rFonts w:ascii="Calibri" w:hAnsi="Calibri" w:cs="Tahoma"/>
          <w:sz w:val="23"/>
          <w:szCs w:val="23"/>
        </w:rPr>
        <w:t>Przedmiar robót (należy traktować jako dokument pomocniczy określający szacunkowe ilości robót jakie należy wykonać w ramach zadania),</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Zgłoszenie o zamiarze przystąpienia do wykonywania robót budowlanych nie wymagających pozwolenia na budowę,</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AE0535" w:rsidRPr="00351C34" w:rsidRDefault="00CC73D1" w:rsidP="00431313">
      <w:pPr>
        <w:spacing w:before="120"/>
        <w:ind w:firstLine="357"/>
        <w:jc w:val="both"/>
        <w:rPr>
          <w:rFonts w:ascii="Calibri" w:hAnsi="Calibri" w:cs="Tahoma"/>
          <w:sz w:val="23"/>
          <w:szCs w:val="23"/>
        </w:rPr>
      </w:pPr>
      <w:r w:rsidRPr="00351C34">
        <w:rPr>
          <w:rFonts w:ascii="Calibri" w:hAnsi="Calibri" w:cs="Tahoma"/>
          <w:sz w:val="23"/>
          <w:szCs w:val="23"/>
        </w:rPr>
        <w:t xml:space="preserve">Wyżej wymienione dokumenty należy traktować, jako wzajemnie uzupełniające i wyjaśniające. </w:t>
      </w:r>
      <w:r w:rsidR="0078279D" w:rsidRPr="00351C34">
        <w:rPr>
          <w:rFonts w:ascii="Calibri" w:hAnsi="Calibri" w:cs="Tahoma"/>
          <w:sz w:val="23"/>
          <w:szCs w:val="23"/>
        </w:rPr>
        <w:t xml:space="preserve">W przypadku powstania niedających się pogodzić niezgodności o charakterze technicznym – podstawą do ostatecznego ustalenia przedmiotu zamówienia oraz wyceny tego przedmiotu – </w:t>
      </w:r>
      <w:r w:rsidR="0078279D" w:rsidRPr="00351C34">
        <w:rPr>
          <w:rFonts w:ascii="Calibri" w:hAnsi="Calibri" w:cs="Tahoma"/>
          <w:b/>
          <w:sz w:val="23"/>
          <w:szCs w:val="23"/>
        </w:rPr>
        <w:t>jest pr</w:t>
      </w:r>
      <w:r w:rsidR="00E34F4F">
        <w:rPr>
          <w:rFonts w:ascii="Calibri" w:hAnsi="Calibri" w:cs="Tahoma"/>
          <w:b/>
          <w:sz w:val="23"/>
          <w:szCs w:val="23"/>
        </w:rPr>
        <w:t>zede wszystkim projekt budowlany</w:t>
      </w:r>
      <w:r w:rsidR="0078279D" w:rsidRPr="00351C34">
        <w:rPr>
          <w:rFonts w:ascii="Calibri" w:hAnsi="Calibri" w:cs="Tahoma"/>
          <w:sz w:val="23"/>
          <w:szCs w:val="23"/>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r w:rsidR="00AE0535" w:rsidRPr="00351C34">
        <w:rPr>
          <w:rFonts w:ascii="Calibri" w:hAnsi="Calibri" w:cs="Tahoma"/>
          <w:sz w:val="23"/>
          <w:szCs w:val="23"/>
        </w:rPr>
        <w:t xml:space="preserve"> </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w:t>
      </w:r>
      <w:r w:rsidR="008006E9">
        <w:rPr>
          <w:rFonts w:ascii="Calibri" w:hAnsi="Calibri" w:cs="Tahoma"/>
          <w:sz w:val="23"/>
          <w:szCs w:val="23"/>
        </w:rPr>
        <w:t xml:space="preserve">a rezultatu określonego w ust. </w:t>
      </w:r>
      <w:r w:rsidR="00E6422B">
        <w:rPr>
          <w:rFonts w:ascii="Calibri" w:hAnsi="Calibri" w:cs="Tahoma"/>
          <w:sz w:val="23"/>
          <w:szCs w:val="23"/>
        </w:rPr>
        <w:t>3</w:t>
      </w:r>
      <w:r w:rsidRPr="00351C34">
        <w:rPr>
          <w:rFonts w:ascii="Calibri" w:hAnsi="Calibri" w:cs="Tahoma"/>
          <w:sz w:val="23"/>
          <w:szCs w:val="23"/>
        </w:rPr>
        <w:t>, niezależnie od tego, czy wynikają one wpr</w:t>
      </w:r>
      <w:r w:rsidR="00EA1E42" w:rsidRPr="00351C34">
        <w:rPr>
          <w:rFonts w:ascii="Calibri" w:hAnsi="Calibri" w:cs="Tahoma"/>
          <w:sz w:val="23"/>
          <w:szCs w:val="23"/>
        </w:rPr>
        <w:t>ost z dokumentów wymienionych w </w:t>
      </w:r>
      <w:r w:rsidR="00E6422B">
        <w:rPr>
          <w:rFonts w:ascii="Calibri" w:hAnsi="Calibri" w:cs="Tahoma"/>
          <w:sz w:val="23"/>
          <w:szCs w:val="23"/>
        </w:rPr>
        <w:t>ust. 4</w:t>
      </w:r>
      <w:r w:rsidRPr="00351C34">
        <w:rPr>
          <w:rFonts w:ascii="Calibri" w:hAnsi="Calibri" w:cs="Tahoma"/>
          <w:sz w:val="23"/>
          <w:szCs w:val="23"/>
        </w:rPr>
        <w:t>.</w:t>
      </w:r>
    </w:p>
    <w:p w:rsidR="00CC73D1" w:rsidRPr="00351C34"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Default="00CC73D1" w:rsidP="006F1192">
      <w:pPr>
        <w:pStyle w:val="Akapitzlist"/>
        <w:widowControl w:val="0"/>
        <w:numPr>
          <w:ilvl w:val="0"/>
          <w:numId w:val="6"/>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t>
      </w:r>
      <w:r w:rsidRPr="00351C34">
        <w:rPr>
          <w:rFonts w:ascii="Calibri" w:hAnsi="Calibri" w:cs="Tahoma"/>
          <w:bCs/>
          <w:snapToGrid w:val="0"/>
          <w:sz w:val="23"/>
          <w:szCs w:val="23"/>
        </w:rPr>
        <w:lastRenderedPageBreak/>
        <w:t xml:space="preserve">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E34F4F" w:rsidRPr="00DE1BC3" w:rsidRDefault="00E34F4F" w:rsidP="00E34F4F">
      <w:pPr>
        <w:pStyle w:val="Akapitzlist"/>
        <w:widowControl w:val="0"/>
        <w:jc w:val="both"/>
        <w:rPr>
          <w:rFonts w:ascii="Calibri" w:hAnsi="Calibri" w:cs="Tahoma"/>
          <w:bCs/>
          <w:snapToGrid w:val="0"/>
          <w:sz w:val="23"/>
          <w:szCs w:val="23"/>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późn. zm.) oraz wymaganiom określonym w ST (STWiORB).</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(STWiORB).</w:t>
      </w:r>
    </w:p>
    <w:p w:rsidR="00CC73D1" w:rsidRPr="00351C34" w:rsidRDefault="00CC73D1" w:rsidP="006F1192">
      <w:pPr>
        <w:numPr>
          <w:ilvl w:val="0"/>
          <w:numId w:val="8"/>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 1 egzemplarz dokumentacji projektowej oraz inne dokumenty niezbędne do wykonania zamówienia.</w:t>
      </w:r>
    </w:p>
    <w:p w:rsidR="00CC73D1" w:rsidRPr="00351C34" w:rsidRDefault="00CC73D1" w:rsidP="006F1192">
      <w:pPr>
        <w:pStyle w:val="Akapitzlist"/>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F70E24">
        <w:rPr>
          <w:rFonts w:ascii="Calibri" w:hAnsi="Calibri" w:cs="Tahoma"/>
          <w:b/>
          <w:sz w:val="23"/>
          <w:szCs w:val="23"/>
          <w:u w:val="single"/>
        </w:rPr>
        <w:t>30.11</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Default="00283DCC" w:rsidP="004E7216">
      <w:pPr>
        <w:pStyle w:val="Akapitzlist"/>
        <w:autoSpaceDE w:val="0"/>
        <w:autoSpaceDN w:val="0"/>
        <w:adjustRightInd w:val="0"/>
        <w:ind w:left="360"/>
        <w:jc w:val="both"/>
        <w:rPr>
          <w:rFonts w:ascii="Calibri" w:hAnsi="Calibri" w:cs="Tahoma"/>
          <w:sz w:val="23"/>
          <w:szCs w:val="23"/>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6F1192">
      <w:pPr>
        <w:pStyle w:val="Tekstpodstawowy"/>
        <w:numPr>
          <w:ilvl w:val="0"/>
          <w:numId w:val="10"/>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 xml:space="preserve">Cena obejmuje wszystkie prace określone w dokumentacji technicznej, STWiORB, przedmiarze robót załączonym do zapytania ofertowego. Za roboty niewykonane, choć objęte kosztorysem ofertowym, wynagrodzenie Wykonawcy nie przysługuje. </w:t>
      </w:r>
    </w:p>
    <w:p w:rsidR="00CC73D1" w:rsidRPr="00351C34" w:rsidRDefault="00CC73D1" w:rsidP="006F1192">
      <w:pPr>
        <w:pStyle w:val="Akapitzlist"/>
        <w:numPr>
          <w:ilvl w:val="0"/>
          <w:numId w:val="10"/>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687DFD" w:rsidRDefault="00687DFD" w:rsidP="00687DFD">
      <w:pPr>
        <w:pStyle w:val="Akapitzlist"/>
        <w:autoSpaceDE w:val="0"/>
        <w:autoSpaceDN w:val="0"/>
        <w:adjustRightInd w:val="0"/>
        <w:jc w:val="both"/>
        <w:rPr>
          <w:rFonts w:ascii="Calibri" w:hAnsi="Calibri" w:cs="Tahoma"/>
          <w:sz w:val="23"/>
          <w:szCs w:val="23"/>
        </w:rPr>
      </w:pPr>
    </w:p>
    <w:p w:rsidR="00687DFD" w:rsidRDefault="00687DFD" w:rsidP="00687DFD">
      <w:pPr>
        <w:pStyle w:val="Akapitzlist"/>
        <w:autoSpaceDE w:val="0"/>
        <w:autoSpaceDN w:val="0"/>
        <w:adjustRightInd w:val="0"/>
        <w:jc w:val="both"/>
        <w:rPr>
          <w:rFonts w:ascii="Calibri" w:hAnsi="Calibri" w:cs="Tahoma"/>
          <w:sz w:val="23"/>
          <w:szCs w:val="23"/>
        </w:rPr>
      </w:pPr>
    </w:p>
    <w:p w:rsidR="00687DFD" w:rsidRPr="00351C34" w:rsidRDefault="00687DFD" w:rsidP="00687DFD">
      <w:pPr>
        <w:pStyle w:val="Akapitzlist"/>
        <w:autoSpaceDE w:val="0"/>
        <w:autoSpaceDN w:val="0"/>
        <w:adjustRightInd w:val="0"/>
        <w:jc w:val="both"/>
        <w:rPr>
          <w:rFonts w:ascii="Calibri" w:hAnsi="Calibri" w:cs="Tahoma"/>
          <w:sz w:val="23"/>
          <w:szCs w:val="23"/>
        </w:rPr>
      </w:pPr>
    </w:p>
    <w:p w:rsidR="00CC73D1" w:rsidRPr="00351C34" w:rsidRDefault="00CC73D1" w:rsidP="006F1192">
      <w:pPr>
        <w:numPr>
          <w:ilvl w:val="0"/>
          <w:numId w:val="11"/>
        </w:numPr>
        <w:jc w:val="both"/>
        <w:rPr>
          <w:rFonts w:ascii="Calibri" w:hAnsi="Calibri"/>
          <w:sz w:val="23"/>
          <w:szCs w:val="23"/>
        </w:rPr>
      </w:pPr>
      <w:r w:rsidRPr="00351C34">
        <w:rPr>
          <w:rFonts w:ascii="Calibri" w:hAnsi="Calibri"/>
          <w:sz w:val="23"/>
          <w:szCs w:val="23"/>
        </w:rPr>
        <w:lastRenderedPageBreak/>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użycie materiałów gwarantujących odpowiednią jakość wykonania zamówienia oraz o parametrach technicznych i jakościowych nie gorszych niż określone w dokumentacji projektowej i STWiORB,</w:t>
      </w:r>
    </w:p>
    <w:p w:rsidR="00CC73D1" w:rsidRPr="00351C34" w:rsidRDefault="00CC73D1" w:rsidP="006F1192">
      <w:pPr>
        <w:pStyle w:val="Akapitzlist"/>
        <w:numPr>
          <w:ilvl w:val="0"/>
          <w:numId w:val="14"/>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przestrzeganie ogólnych wymagań, dotyczących robót w zakresie określonym w Specyfikacji Technicznej Wykonania i Odbioru Robót oraz obowiązujących normach i przepisach,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6F1192">
      <w:pPr>
        <w:numPr>
          <w:ilvl w:val="0"/>
          <w:numId w:val="14"/>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zobowiązany jest wykonywać wszystkie polecenia Zamawiającego (Nadzoru Inwestorskiego) wydawane zgodnie z przepisami prawa i wszystkimi postanowieniami Umowy. </w:t>
      </w:r>
    </w:p>
    <w:p w:rsidR="004E7216"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pośrednie Kp (od R+S)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6F1192">
      <w:pPr>
        <w:pStyle w:val="Akapitzlist"/>
        <w:numPr>
          <w:ilvl w:val="0"/>
          <w:numId w:val="16"/>
        </w:numPr>
        <w:jc w:val="both"/>
        <w:rPr>
          <w:rFonts w:ascii="Calibri" w:hAnsi="Calibri" w:cs="Tahoma"/>
          <w:snapToGrid w:val="0"/>
          <w:sz w:val="23"/>
          <w:szCs w:val="23"/>
        </w:rPr>
      </w:pPr>
      <w:r w:rsidRPr="00351C34">
        <w:rPr>
          <w:rFonts w:ascii="Calibri" w:hAnsi="Calibri" w:cs="Tahoma"/>
          <w:sz w:val="23"/>
          <w:szCs w:val="23"/>
        </w:rPr>
        <w:t>zysk (R+S+Kp) - …….. .</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6F1192">
      <w:pPr>
        <w:numPr>
          <w:ilvl w:val="0"/>
          <w:numId w:val="15"/>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6F1192">
      <w:pPr>
        <w:pStyle w:val="Akapitzlist"/>
        <w:numPr>
          <w:ilvl w:val="0"/>
          <w:numId w:val="15"/>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6F1192">
      <w:pPr>
        <w:numPr>
          <w:ilvl w:val="0"/>
          <w:numId w:val="17"/>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6F1192">
      <w:pPr>
        <w:pStyle w:val="Tekstpodstawowywcity"/>
        <w:numPr>
          <w:ilvl w:val="0"/>
          <w:numId w:val="17"/>
        </w:numPr>
        <w:spacing w:after="0"/>
        <w:ind w:left="284" w:hanging="284"/>
        <w:jc w:val="both"/>
        <w:rPr>
          <w:rFonts w:ascii="Calibri" w:hAnsi="Calibri" w:cs="Tahoma"/>
          <w:sz w:val="23"/>
          <w:szCs w:val="23"/>
        </w:rPr>
      </w:pPr>
      <w:r w:rsidRPr="00351C34">
        <w:rPr>
          <w:rFonts w:ascii="Calibri" w:hAnsi="Calibri" w:cs="Tahoma"/>
          <w:sz w:val="23"/>
          <w:szCs w:val="23"/>
        </w:rPr>
        <w:t>Zamawiający przewiduje możliwość dokonania zmian postanowień zawartej umowy w stosunku do treści oferty, na podstawie, której dokonano wyboru Wykonawcy. Zmiana, o której mowa jest możliwa, gdy:</w:t>
      </w:r>
    </w:p>
    <w:p w:rsidR="00CC73D1" w:rsidRPr="00351C34" w:rsidRDefault="00CC73D1" w:rsidP="006F1192">
      <w:pPr>
        <w:pStyle w:val="Tekstpodstawowywcity"/>
        <w:widowControl w:val="0"/>
        <w:numPr>
          <w:ilvl w:val="0"/>
          <w:numId w:val="18"/>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6F1192">
      <w:pPr>
        <w:pStyle w:val="Tekstpodstawowywcity"/>
        <w:numPr>
          <w:ilvl w:val="0"/>
          <w:numId w:val="18"/>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6F1192">
      <w:pPr>
        <w:pStyle w:val="Akapitzlist"/>
        <w:numPr>
          <w:ilvl w:val="0"/>
          <w:numId w:val="18"/>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6F1192">
      <w:pPr>
        <w:pStyle w:val="Akapitzlist"/>
        <w:numPr>
          <w:ilvl w:val="0"/>
          <w:numId w:val="17"/>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lastRenderedPageBreak/>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6F1192">
      <w:pPr>
        <w:pStyle w:val="WW-Tekstpodstawowy2"/>
        <w:numPr>
          <w:ilvl w:val="0"/>
          <w:numId w:val="35"/>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brykaty, materiały i urządze</w:t>
      </w:r>
      <w:r w:rsidR="00630BDD">
        <w:rPr>
          <w:rFonts w:ascii="Calibri" w:hAnsi="Calibri" w:cs="Tahoma"/>
          <w:sz w:val="23"/>
          <w:szCs w:val="23"/>
        </w:rPr>
        <w:t>nia ,</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6F1192">
      <w:pPr>
        <w:numPr>
          <w:ilvl w:val="0"/>
          <w:numId w:val="2"/>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lastRenderedPageBreak/>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Bieg okresu gwarancji rozpoczyna się:</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6F1192">
      <w:pPr>
        <w:numPr>
          <w:ilvl w:val="0"/>
          <w:numId w:val="27"/>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zgłosi do dokonania przez Zamawiającego odbioru robót przerwanych oraz robót zabezpieczających, jeżeli odstąpienie od umowy, nastąpiło z przyczyn, za które Wykonawca nie odpowiada,</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Default="00CC73D1" w:rsidP="00061B99">
      <w:pPr>
        <w:autoSpaceDE w:val="0"/>
        <w:autoSpaceDN w:val="0"/>
        <w:adjustRightInd w:val="0"/>
        <w:jc w:val="center"/>
        <w:rPr>
          <w:rFonts w:ascii="Calibri" w:hAnsi="Calibri" w:cs="Tahoma"/>
          <w:b/>
          <w:sz w:val="12"/>
          <w:szCs w:val="12"/>
        </w:rPr>
      </w:pPr>
    </w:p>
    <w:p w:rsidR="003609C8" w:rsidRPr="008D1EC4" w:rsidRDefault="003609C8"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 21</w:t>
      </w:r>
    </w:p>
    <w:p w:rsidR="00CC73D1" w:rsidRPr="00351C34" w:rsidRDefault="00CC73D1" w:rsidP="006F1192">
      <w:pPr>
        <w:pStyle w:val="Akapitzlist"/>
        <w:numPr>
          <w:ilvl w:val="0"/>
          <w:numId w:val="34"/>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8D1EC4" w:rsidRPr="00351C34" w:rsidRDefault="008D1EC4"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FA55DC" w:rsidP="005A0E6A">
      <w:pPr>
        <w:jc w:val="both"/>
        <w:rPr>
          <w:rFonts w:ascii="Calibri" w:hAnsi="Calibri" w:cs="Arial"/>
          <w:sz w:val="18"/>
          <w:szCs w:val="18"/>
        </w:rPr>
      </w:pPr>
      <w:r>
        <w:rPr>
          <w:rFonts w:ascii="Calibri" w:hAnsi="Calibri" w:cs="Arial"/>
          <w:sz w:val="18"/>
          <w:szCs w:val="18"/>
        </w:rPr>
        <w:t>Halina Ruczyńska</w:t>
      </w:r>
    </w:p>
    <w:p w:rsidR="00CA0490" w:rsidRDefault="00CA0490" w:rsidP="005A0E6A">
      <w:pPr>
        <w:jc w:val="both"/>
        <w:rPr>
          <w:rFonts w:ascii="Calibri" w:hAnsi="Calibri" w:cs="Arial"/>
          <w:sz w:val="18"/>
          <w:szCs w:val="18"/>
        </w:rPr>
      </w:pPr>
      <w:bookmarkStart w:id="0" w:name="_GoBack"/>
      <w:bookmarkEnd w:id="0"/>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D50B06" w:rsidP="004F1581">
      <w:pPr>
        <w:jc w:val="both"/>
        <w:rPr>
          <w:rFonts w:ascii="Calibri" w:hAnsi="Calibri" w:cs="Arial"/>
          <w:sz w:val="18"/>
          <w:szCs w:val="18"/>
        </w:rPr>
      </w:pPr>
      <w:r>
        <w:rPr>
          <w:rFonts w:ascii="Calibri" w:hAnsi="Calibri" w:cs="Arial"/>
          <w:sz w:val="18"/>
          <w:szCs w:val="18"/>
        </w:rPr>
        <w:t>Grzegorz Woźniak</w:t>
      </w:r>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CA0490">
      <w:rPr>
        <w:rFonts w:ascii="Calibri" w:hAnsi="Calibri"/>
        <w:noProof/>
        <w:sz w:val="20"/>
        <w:szCs w:val="20"/>
      </w:rPr>
      <w:t>10</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CA0490">
      <w:rPr>
        <w:rFonts w:ascii="Calibri" w:hAnsi="Calibri"/>
        <w:noProof/>
        <w:sz w:val="20"/>
        <w:szCs w:val="20"/>
      </w:rPr>
      <w:t>11</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CA0490">
      <w:rPr>
        <w:rFonts w:ascii="Calibri" w:hAnsi="Calibri"/>
        <w:noProof/>
        <w:sz w:val="20"/>
        <w:szCs w:val="20"/>
      </w:rPr>
      <w:t>11</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CA0490">
      <w:rPr>
        <w:rFonts w:ascii="Calibri" w:hAnsi="Calibri"/>
        <w:noProof/>
        <w:sz w:val="20"/>
        <w:szCs w:val="20"/>
      </w:rPr>
      <w:t>11</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1"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4"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1"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24"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2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8F5FD5"/>
    <w:multiLevelType w:val="hybridMultilevel"/>
    <w:tmpl w:val="76E809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2"/>
  </w:num>
  <w:num w:numId="2">
    <w:abstractNumId w:val="20"/>
  </w:num>
  <w:num w:numId="3">
    <w:abstractNumId w:val="13"/>
  </w:num>
  <w:num w:numId="4">
    <w:abstractNumId w:val="23"/>
  </w:num>
  <w:num w:numId="5">
    <w:abstractNumId w:val="5"/>
  </w:num>
  <w:num w:numId="6">
    <w:abstractNumId w:val="11"/>
  </w:num>
  <w:num w:numId="7">
    <w:abstractNumId w:val="12"/>
  </w:num>
  <w:num w:numId="8">
    <w:abstractNumId w:val="34"/>
  </w:num>
  <w:num w:numId="9">
    <w:abstractNumId w:val="27"/>
  </w:num>
  <w:num w:numId="10">
    <w:abstractNumId w:val="35"/>
  </w:num>
  <w:num w:numId="11">
    <w:abstractNumId w:val="2"/>
  </w:num>
  <w:num w:numId="12">
    <w:abstractNumId w:val="26"/>
  </w:num>
  <w:num w:numId="13">
    <w:abstractNumId w:val="7"/>
  </w:num>
  <w:num w:numId="14">
    <w:abstractNumId w:val="25"/>
  </w:num>
  <w:num w:numId="15">
    <w:abstractNumId w:val="0"/>
  </w:num>
  <w:num w:numId="16">
    <w:abstractNumId w:val="22"/>
  </w:num>
  <w:num w:numId="17">
    <w:abstractNumId w:val="1"/>
  </w:num>
  <w:num w:numId="18">
    <w:abstractNumId w:val="8"/>
  </w:num>
  <w:num w:numId="19">
    <w:abstractNumId w:val="29"/>
  </w:num>
  <w:num w:numId="20">
    <w:abstractNumId w:val="33"/>
  </w:num>
  <w:num w:numId="21">
    <w:abstractNumId w:val="14"/>
  </w:num>
  <w:num w:numId="22">
    <w:abstractNumId w:val="31"/>
  </w:num>
  <w:num w:numId="23">
    <w:abstractNumId w:val="4"/>
  </w:num>
  <w:num w:numId="24">
    <w:abstractNumId w:val="18"/>
  </w:num>
  <w:num w:numId="25">
    <w:abstractNumId w:val="21"/>
  </w:num>
  <w:num w:numId="26">
    <w:abstractNumId w:val="3"/>
  </w:num>
  <w:num w:numId="27">
    <w:abstractNumId w:val="15"/>
  </w:num>
  <w:num w:numId="28">
    <w:abstractNumId w:val="28"/>
  </w:num>
  <w:num w:numId="29">
    <w:abstractNumId w:val="16"/>
  </w:num>
  <w:num w:numId="30">
    <w:abstractNumId w:val="37"/>
  </w:num>
  <w:num w:numId="31">
    <w:abstractNumId w:val="9"/>
  </w:num>
  <w:num w:numId="32">
    <w:abstractNumId w:val="19"/>
  </w:num>
  <w:num w:numId="33">
    <w:abstractNumId w:val="17"/>
  </w:num>
  <w:num w:numId="34">
    <w:abstractNumId w:val="6"/>
  </w:num>
  <w:num w:numId="35">
    <w:abstractNumId w:val="24"/>
  </w:num>
  <w:num w:numId="36">
    <w:abstractNumId w:val="36"/>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55094"/>
    <w:rsid w:val="00061101"/>
    <w:rsid w:val="00061B99"/>
    <w:rsid w:val="00061CEB"/>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B7D4A"/>
    <w:rsid w:val="000C2731"/>
    <w:rsid w:val="000C3A0A"/>
    <w:rsid w:val="000C65A3"/>
    <w:rsid w:val="000C6DDD"/>
    <w:rsid w:val="000D1735"/>
    <w:rsid w:val="000D3AC1"/>
    <w:rsid w:val="000D7666"/>
    <w:rsid w:val="000E3ABA"/>
    <w:rsid w:val="000F1FCF"/>
    <w:rsid w:val="000F2A3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5090C"/>
    <w:rsid w:val="00150D13"/>
    <w:rsid w:val="001573AB"/>
    <w:rsid w:val="00160C06"/>
    <w:rsid w:val="00163477"/>
    <w:rsid w:val="00164321"/>
    <w:rsid w:val="001671E3"/>
    <w:rsid w:val="00172FE6"/>
    <w:rsid w:val="0017610F"/>
    <w:rsid w:val="001808AA"/>
    <w:rsid w:val="00181594"/>
    <w:rsid w:val="00183019"/>
    <w:rsid w:val="00184434"/>
    <w:rsid w:val="00184F4C"/>
    <w:rsid w:val="00185FC4"/>
    <w:rsid w:val="00186C38"/>
    <w:rsid w:val="00190F37"/>
    <w:rsid w:val="00191D5A"/>
    <w:rsid w:val="0019262F"/>
    <w:rsid w:val="00196B31"/>
    <w:rsid w:val="001B3501"/>
    <w:rsid w:val="001B38A5"/>
    <w:rsid w:val="001B74C9"/>
    <w:rsid w:val="001C2007"/>
    <w:rsid w:val="001C20D9"/>
    <w:rsid w:val="001C6FD4"/>
    <w:rsid w:val="001D0D49"/>
    <w:rsid w:val="001D44D1"/>
    <w:rsid w:val="001D5CCD"/>
    <w:rsid w:val="001D6473"/>
    <w:rsid w:val="001D6516"/>
    <w:rsid w:val="001E177B"/>
    <w:rsid w:val="001E1AE7"/>
    <w:rsid w:val="001E753C"/>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6D36"/>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35995"/>
    <w:rsid w:val="00337A32"/>
    <w:rsid w:val="00345803"/>
    <w:rsid w:val="00347EF9"/>
    <w:rsid w:val="00347FE9"/>
    <w:rsid w:val="00350039"/>
    <w:rsid w:val="0035067C"/>
    <w:rsid w:val="00351804"/>
    <w:rsid w:val="00351C34"/>
    <w:rsid w:val="00354531"/>
    <w:rsid w:val="0035680E"/>
    <w:rsid w:val="003609C8"/>
    <w:rsid w:val="00360F37"/>
    <w:rsid w:val="00362068"/>
    <w:rsid w:val="00362B0E"/>
    <w:rsid w:val="0036724E"/>
    <w:rsid w:val="003714B8"/>
    <w:rsid w:val="00375EC6"/>
    <w:rsid w:val="003763A7"/>
    <w:rsid w:val="003772CA"/>
    <w:rsid w:val="00382C3C"/>
    <w:rsid w:val="00385F7F"/>
    <w:rsid w:val="00386E09"/>
    <w:rsid w:val="00386E2B"/>
    <w:rsid w:val="003900A2"/>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24F9"/>
    <w:rsid w:val="004F3B51"/>
    <w:rsid w:val="004F501D"/>
    <w:rsid w:val="004F78E4"/>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1E88"/>
    <w:rsid w:val="00592D95"/>
    <w:rsid w:val="00592F70"/>
    <w:rsid w:val="0059378D"/>
    <w:rsid w:val="005A06A1"/>
    <w:rsid w:val="005A09FB"/>
    <w:rsid w:val="005A0E6A"/>
    <w:rsid w:val="005A1A3C"/>
    <w:rsid w:val="005A2BB2"/>
    <w:rsid w:val="005B4DC9"/>
    <w:rsid w:val="005B6DC0"/>
    <w:rsid w:val="005B705C"/>
    <w:rsid w:val="005B73CB"/>
    <w:rsid w:val="005C1B41"/>
    <w:rsid w:val="005C24F9"/>
    <w:rsid w:val="005C3896"/>
    <w:rsid w:val="005C4CD0"/>
    <w:rsid w:val="005C6382"/>
    <w:rsid w:val="005D1502"/>
    <w:rsid w:val="005D54EF"/>
    <w:rsid w:val="005F1EE6"/>
    <w:rsid w:val="005F4494"/>
    <w:rsid w:val="0060149E"/>
    <w:rsid w:val="006054F6"/>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0BDD"/>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6CB2"/>
    <w:rsid w:val="00672249"/>
    <w:rsid w:val="006745A0"/>
    <w:rsid w:val="00676320"/>
    <w:rsid w:val="00682891"/>
    <w:rsid w:val="00682E80"/>
    <w:rsid w:val="00686605"/>
    <w:rsid w:val="006874C8"/>
    <w:rsid w:val="00687DFD"/>
    <w:rsid w:val="0069140A"/>
    <w:rsid w:val="00691822"/>
    <w:rsid w:val="0069401C"/>
    <w:rsid w:val="006979E3"/>
    <w:rsid w:val="006A10EE"/>
    <w:rsid w:val="006A4831"/>
    <w:rsid w:val="006A4932"/>
    <w:rsid w:val="006A68E1"/>
    <w:rsid w:val="006B000E"/>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192"/>
    <w:rsid w:val="006F1C7C"/>
    <w:rsid w:val="006F217C"/>
    <w:rsid w:val="00704B8C"/>
    <w:rsid w:val="0070542B"/>
    <w:rsid w:val="007065E7"/>
    <w:rsid w:val="00707F72"/>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732"/>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06E9"/>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575B"/>
    <w:rsid w:val="008D6DAD"/>
    <w:rsid w:val="008E2A44"/>
    <w:rsid w:val="008E4A1F"/>
    <w:rsid w:val="008E706D"/>
    <w:rsid w:val="008F14D6"/>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07D93"/>
    <w:rsid w:val="00A110B2"/>
    <w:rsid w:val="00A20648"/>
    <w:rsid w:val="00A22C96"/>
    <w:rsid w:val="00A23624"/>
    <w:rsid w:val="00A27744"/>
    <w:rsid w:val="00A312C2"/>
    <w:rsid w:val="00A34B7A"/>
    <w:rsid w:val="00A3612B"/>
    <w:rsid w:val="00A367B4"/>
    <w:rsid w:val="00A370A9"/>
    <w:rsid w:val="00A41151"/>
    <w:rsid w:val="00A43BCD"/>
    <w:rsid w:val="00A46711"/>
    <w:rsid w:val="00A51240"/>
    <w:rsid w:val="00A52DFF"/>
    <w:rsid w:val="00A57662"/>
    <w:rsid w:val="00A609F4"/>
    <w:rsid w:val="00A64F6F"/>
    <w:rsid w:val="00A6587B"/>
    <w:rsid w:val="00A67A79"/>
    <w:rsid w:val="00A77028"/>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5B0E"/>
    <w:rsid w:val="00AF5F06"/>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2D0"/>
    <w:rsid w:val="00B50CBE"/>
    <w:rsid w:val="00B516A4"/>
    <w:rsid w:val="00B53EC0"/>
    <w:rsid w:val="00B56F79"/>
    <w:rsid w:val="00B63894"/>
    <w:rsid w:val="00B712F4"/>
    <w:rsid w:val="00B71691"/>
    <w:rsid w:val="00B72044"/>
    <w:rsid w:val="00B73139"/>
    <w:rsid w:val="00B7334D"/>
    <w:rsid w:val="00B80178"/>
    <w:rsid w:val="00B81AD8"/>
    <w:rsid w:val="00B81C5F"/>
    <w:rsid w:val="00B84A2B"/>
    <w:rsid w:val="00B877A6"/>
    <w:rsid w:val="00B9110C"/>
    <w:rsid w:val="00B94D1B"/>
    <w:rsid w:val="00B970C3"/>
    <w:rsid w:val="00BA1536"/>
    <w:rsid w:val="00BA18E5"/>
    <w:rsid w:val="00BA2203"/>
    <w:rsid w:val="00BA4C5B"/>
    <w:rsid w:val="00BB2A8C"/>
    <w:rsid w:val="00BB4DA0"/>
    <w:rsid w:val="00BB7DB2"/>
    <w:rsid w:val="00BC0F36"/>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AE8"/>
    <w:rsid w:val="00C7723E"/>
    <w:rsid w:val="00C8343C"/>
    <w:rsid w:val="00C835AC"/>
    <w:rsid w:val="00C83EF7"/>
    <w:rsid w:val="00C85BDF"/>
    <w:rsid w:val="00C95089"/>
    <w:rsid w:val="00C9670D"/>
    <w:rsid w:val="00CA0490"/>
    <w:rsid w:val="00CA1468"/>
    <w:rsid w:val="00CA2418"/>
    <w:rsid w:val="00CA2782"/>
    <w:rsid w:val="00CA3388"/>
    <w:rsid w:val="00CA6005"/>
    <w:rsid w:val="00CA6DD9"/>
    <w:rsid w:val="00CB0E9F"/>
    <w:rsid w:val="00CB7AD4"/>
    <w:rsid w:val="00CC1C3F"/>
    <w:rsid w:val="00CC40CA"/>
    <w:rsid w:val="00CC6A07"/>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2424"/>
    <w:rsid w:val="00D4310F"/>
    <w:rsid w:val="00D45E36"/>
    <w:rsid w:val="00D4740C"/>
    <w:rsid w:val="00D507E4"/>
    <w:rsid w:val="00D50B06"/>
    <w:rsid w:val="00D50B16"/>
    <w:rsid w:val="00D522A4"/>
    <w:rsid w:val="00D526D8"/>
    <w:rsid w:val="00D56678"/>
    <w:rsid w:val="00D608E4"/>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3A2E"/>
    <w:rsid w:val="00DC664B"/>
    <w:rsid w:val="00DD12D4"/>
    <w:rsid w:val="00DD1454"/>
    <w:rsid w:val="00DD1C25"/>
    <w:rsid w:val="00DD23FD"/>
    <w:rsid w:val="00DD3073"/>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842"/>
    <w:rsid w:val="00E34F4F"/>
    <w:rsid w:val="00E34FF0"/>
    <w:rsid w:val="00E35C48"/>
    <w:rsid w:val="00E417D0"/>
    <w:rsid w:val="00E423A3"/>
    <w:rsid w:val="00E46194"/>
    <w:rsid w:val="00E46374"/>
    <w:rsid w:val="00E469FE"/>
    <w:rsid w:val="00E47384"/>
    <w:rsid w:val="00E4767F"/>
    <w:rsid w:val="00E529BB"/>
    <w:rsid w:val="00E5659B"/>
    <w:rsid w:val="00E56CC0"/>
    <w:rsid w:val="00E6422B"/>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55BF9"/>
    <w:rsid w:val="00F630DD"/>
    <w:rsid w:val="00F654F7"/>
    <w:rsid w:val="00F6680F"/>
    <w:rsid w:val="00F70E24"/>
    <w:rsid w:val="00F83FAF"/>
    <w:rsid w:val="00F863E2"/>
    <w:rsid w:val="00F92B16"/>
    <w:rsid w:val="00F93EEA"/>
    <w:rsid w:val="00F942E2"/>
    <w:rsid w:val="00F947DB"/>
    <w:rsid w:val="00F95E2C"/>
    <w:rsid w:val="00F9794E"/>
    <w:rsid w:val="00FA18A6"/>
    <w:rsid w:val="00FA4768"/>
    <w:rsid w:val="00FA55DC"/>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ED135"/>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7567">
      <w:bodyDiv w:val="1"/>
      <w:marLeft w:val="0"/>
      <w:marRight w:val="0"/>
      <w:marTop w:val="0"/>
      <w:marBottom w:val="0"/>
      <w:divBdr>
        <w:top w:val="none" w:sz="0" w:space="0" w:color="auto"/>
        <w:left w:val="none" w:sz="0" w:space="0" w:color="auto"/>
        <w:bottom w:val="none" w:sz="0" w:space="0" w:color="auto"/>
        <w:right w:val="none" w:sz="0" w:space="0" w:color="auto"/>
      </w:divBdr>
    </w:div>
    <w:div w:id="1103649738">
      <w:bodyDiv w:val="1"/>
      <w:marLeft w:val="0"/>
      <w:marRight w:val="0"/>
      <w:marTop w:val="0"/>
      <w:marBottom w:val="0"/>
      <w:divBdr>
        <w:top w:val="none" w:sz="0" w:space="0" w:color="auto"/>
        <w:left w:val="none" w:sz="0" w:space="0" w:color="auto"/>
        <w:bottom w:val="none" w:sz="0" w:space="0" w:color="auto"/>
        <w:right w:val="none" w:sz="0" w:space="0" w:color="auto"/>
      </w:divBdr>
    </w:div>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11</Pages>
  <Words>4894</Words>
  <Characters>29368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202</cp:revision>
  <cp:lastPrinted>2018-10-04T12:42:00Z</cp:lastPrinted>
  <dcterms:created xsi:type="dcterms:W3CDTF">2016-03-17T08:10:00Z</dcterms:created>
  <dcterms:modified xsi:type="dcterms:W3CDTF">2018-10-04T12:43:00Z</dcterms:modified>
</cp:coreProperties>
</file>