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CC73D1" w:rsidP="003D1B12">
      <w:pPr>
        <w:pStyle w:val="Nagwek9"/>
        <w:spacing w:before="0" w:after="0"/>
        <w:jc w:val="right"/>
        <w:rPr>
          <w:rFonts w:ascii="Calibri" w:hAnsi="Calibri" w:cs="Tahoma"/>
          <w:i/>
          <w:sz w:val="18"/>
          <w:szCs w:val="18"/>
        </w:rPr>
      </w:pPr>
      <w:r>
        <w:rPr>
          <w:rFonts w:ascii="Calibri" w:hAnsi="Calibri" w:cs="Tahoma"/>
          <w:i/>
          <w:sz w:val="18"/>
          <w:szCs w:val="18"/>
        </w:rPr>
        <w:t>Zał. Nr 2</w:t>
      </w:r>
      <w:r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strza  –  mgr Otolię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CC73D1"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pn. </w:t>
      </w:r>
      <w:r w:rsidR="00411FE3">
        <w:rPr>
          <w:rFonts w:ascii="Calibri" w:hAnsi="Calibri" w:cs="Tahoma"/>
          <w:b/>
          <w:sz w:val="23"/>
          <w:szCs w:val="23"/>
        </w:rPr>
        <w:t>Remont schodów przy ul. Kopernika na zadaniu „Remont budynku Szkoły Podstawowej nr 1               przy ul. Kopernika 2”</w:t>
      </w:r>
      <w:r w:rsidRPr="00351C34">
        <w:rPr>
          <w:rFonts w:ascii="Calibri" w:hAnsi="Calibri" w:cs="Tahoma"/>
          <w:sz w:val="23"/>
          <w:szCs w:val="23"/>
        </w:rPr>
        <w:t>. Wykonawca zobowiązuje się do oddania ww. obiektu budowlanego wykonanego zgodnie z zapytaniem ofertowym, zasadami wiedzy technicznej, obowiązującymi w tym zakresie przepisami szczegółowymi oraz polskimi normami wprowadzającymi normy europejskie lub europejskie aprobaty techniczne i kompletny z punktu widzenia celu, któremu ma służyć.</w:t>
      </w:r>
    </w:p>
    <w:p w:rsidR="00411FE3" w:rsidRPr="0098218A" w:rsidRDefault="00411FE3" w:rsidP="00411FE3">
      <w:pPr>
        <w:pStyle w:val="Akapitzlist"/>
        <w:autoSpaceDE w:val="0"/>
        <w:autoSpaceDN w:val="0"/>
        <w:adjustRightInd w:val="0"/>
        <w:ind w:left="360"/>
        <w:jc w:val="both"/>
        <w:rPr>
          <w:rFonts w:ascii="Calibri" w:hAnsi="Calibri" w:cs="Tahoma"/>
          <w:sz w:val="16"/>
          <w:szCs w:val="16"/>
        </w:rPr>
      </w:pPr>
    </w:p>
    <w:p w:rsidR="00CC73D1" w:rsidRDefault="00CC73D1" w:rsidP="007B0DBC">
      <w:pPr>
        <w:pStyle w:val="Akapitzlist"/>
        <w:numPr>
          <w:ilvl w:val="0"/>
          <w:numId w:val="7"/>
        </w:numPr>
        <w:jc w:val="both"/>
        <w:rPr>
          <w:rFonts w:ascii="Calibri" w:hAnsi="Calibri" w:cs="Tahoma"/>
          <w:b/>
          <w:sz w:val="23"/>
          <w:szCs w:val="23"/>
        </w:rPr>
      </w:pPr>
      <w:r w:rsidRPr="00351C34">
        <w:rPr>
          <w:rFonts w:ascii="Calibri" w:hAnsi="Calibri" w:cs="Tahoma"/>
          <w:b/>
          <w:sz w:val="23"/>
          <w:szCs w:val="23"/>
        </w:rPr>
        <w:t>Przedmiot zamówienia obejmuje:</w:t>
      </w:r>
    </w:p>
    <w:p w:rsidR="00411FE3" w:rsidRPr="00CD428B" w:rsidRDefault="00E41E24" w:rsidP="00E41E24">
      <w:pPr>
        <w:pStyle w:val="Akapitzlist"/>
        <w:ind w:left="0"/>
        <w:rPr>
          <w:rFonts w:ascii="Calibri" w:hAnsi="Calibri" w:cs="Tahoma"/>
        </w:rPr>
      </w:pPr>
      <w:r>
        <w:rPr>
          <w:rFonts w:ascii="Calibri" w:hAnsi="Calibri" w:cs="Tahoma"/>
          <w:b/>
          <w:sz w:val="22"/>
          <w:szCs w:val="22"/>
        </w:rPr>
        <w:t xml:space="preserve">             </w:t>
      </w:r>
      <w:r w:rsidRPr="00E41E24">
        <w:rPr>
          <w:rFonts w:ascii="Calibri" w:hAnsi="Calibri" w:cs="Tahoma"/>
          <w:b/>
          <w:sz w:val="22"/>
          <w:szCs w:val="22"/>
        </w:rPr>
        <w:t xml:space="preserve"> </w:t>
      </w:r>
      <w:r w:rsidR="00673B37" w:rsidRPr="00CD428B">
        <w:rPr>
          <w:rFonts w:ascii="Calibri" w:hAnsi="Calibri" w:cs="Tahoma"/>
        </w:rPr>
        <w:t>Wykonanie</w:t>
      </w:r>
      <w:r w:rsidR="00673B37" w:rsidRPr="00CD428B">
        <w:rPr>
          <w:rFonts w:ascii="Calibri" w:hAnsi="Calibri" w:cs="Tahoma"/>
          <w:b/>
        </w:rPr>
        <w:t xml:space="preserve"> </w:t>
      </w:r>
      <w:r w:rsidR="00673B37" w:rsidRPr="00CD428B">
        <w:rPr>
          <w:rFonts w:ascii="Calibri" w:hAnsi="Calibri" w:cs="Tahoma"/>
        </w:rPr>
        <w:t>r</w:t>
      </w:r>
      <w:r w:rsidRPr="00CD428B">
        <w:rPr>
          <w:rFonts w:ascii="Calibri" w:hAnsi="Calibri" w:cs="Tahoma"/>
        </w:rPr>
        <w:t>emont</w:t>
      </w:r>
      <w:r w:rsidR="00673B37" w:rsidRPr="00CD428B">
        <w:rPr>
          <w:rFonts w:ascii="Calibri" w:hAnsi="Calibri" w:cs="Tahoma"/>
        </w:rPr>
        <w:t>u</w:t>
      </w:r>
      <w:r w:rsidRPr="00CD428B">
        <w:rPr>
          <w:rFonts w:ascii="Calibri" w:hAnsi="Calibri" w:cs="Tahoma"/>
        </w:rPr>
        <w:t xml:space="preserve"> schodów przy ul. Kopernika </w:t>
      </w:r>
      <w:r w:rsidR="00C76158">
        <w:rPr>
          <w:rFonts w:ascii="Calibri" w:hAnsi="Calibri" w:cs="Tahoma"/>
        </w:rPr>
        <w:t xml:space="preserve"> w Mrą</w:t>
      </w:r>
      <w:r w:rsidR="00673B37" w:rsidRPr="00CD428B">
        <w:rPr>
          <w:rFonts w:ascii="Calibri" w:hAnsi="Calibri" w:cs="Tahoma"/>
        </w:rPr>
        <w:t>gowie:</w:t>
      </w:r>
    </w:p>
    <w:p w:rsidR="00411FE3" w:rsidRDefault="00411FE3" w:rsidP="00411FE3">
      <w:pPr>
        <w:pStyle w:val="Akapitzlist1"/>
        <w:numPr>
          <w:ilvl w:val="1"/>
          <w:numId w:val="50"/>
        </w:numPr>
        <w:ind w:left="709"/>
        <w:jc w:val="both"/>
        <w:rPr>
          <w:rFonts w:ascii="Calibri" w:hAnsi="Calibri" w:cs="Tahoma"/>
        </w:rPr>
      </w:pPr>
      <w:r>
        <w:rPr>
          <w:rFonts w:ascii="Calibri" w:hAnsi="Calibri" w:cs="Tahoma"/>
        </w:rPr>
        <w:t>roboty rozbiórkowe - rozbiórka istniejących betonowych schodów, demontaż balustrad, rozbiórka nawierzchni chodnikowej z płyt betonowych,</w:t>
      </w:r>
    </w:p>
    <w:p w:rsidR="00411FE3" w:rsidRDefault="00411FE3" w:rsidP="00411FE3">
      <w:pPr>
        <w:pStyle w:val="Akapitzlist1"/>
        <w:numPr>
          <w:ilvl w:val="1"/>
          <w:numId w:val="50"/>
        </w:numPr>
        <w:ind w:left="709"/>
        <w:jc w:val="both"/>
        <w:rPr>
          <w:rFonts w:ascii="Calibri" w:hAnsi="Calibri" w:cs="Tahoma"/>
        </w:rPr>
      </w:pPr>
      <w:r>
        <w:rPr>
          <w:rFonts w:ascii="Calibri" w:hAnsi="Calibri" w:cs="Tahoma"/>
        </w:rPr>
        <w:t>roboty budowlane: wykonanie izolacji ścian fundamentowych, wykonanie podkładu betonowego na podłożu gruntowym, ułożenie obrzeży betonowych na podsypce piaskowej oraz nawierzchni stopni i podestów schodowych z płyt chodnikowych na podsypce cementowo-piaskowej, zamontowanie daszków granitowych na murkach schodowych, zamontowanie balustrad schodowych.</w:t>
      </w:r>
    </w:p>
    <w:p w:rsidR="00411FE3" w:rsidRPr="0098218A" w:rsidRDefault="00411FE3" w:rsidP="00411FE3">
      <w:pPr>
        <w:pStyle w:val="Akapitzlist"/>
        <w:ind w:left="360"/>
        <w:jc w:val="both"/>
        <w:rPr>
          <w:rFonts w:ascii="Calibri" w:hAnsi="Calibri" w:cs="Tahoma"/>
          <w:b/>
          <w:sz w:val="16"/>
          <w:szCs w:val="16"/>
        </w:rPr>
      </w:pPr>
    </w:p>
    <w:p w:rsidR="00CC73D1" w:rsidRPr="00351C34" w:rsidRDefault="00CC73D1" w:rsidP="00875168">
      <w:pPr>
        <w:pStyle w:val="Akapitzlist"/>
        <w:numPr>
          <w:ilvl w:val="0"/>
          <w:numId w:val="7"/>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CC73D1" w:rsidRDefault="00DD368E" w:rsidP="008876D3">
      <w:pPr>
        <w:pStyle w:val="Akapitzlist"/>
        <w:numPr>
          <w:ilvl w:val="1"/>
          <w:numId w:val="7"/>
        </w:numPr>
        <w:autoSpaceDE w:val="0"/>
        <w:autoSpaceDN w:val="0"/>
        <w:adjustRightInd w:val="0"/>
        <w:ind w:left="426"/>
        <w:jc w:val="both"/>
        <w:rPr>
          <w:rFonts w:ascii="Calibri" w:hAnsi="Calibri" w:cs="Tahoma"/>
          <w:sz w:val="23"/>
          <w:szCs w:val="23"/>
        </w:rPr>
      </w:pPr>
      <w:r>
        <w:rPr>
          <w:rFonts w:ascii="Calibri" w:hAnsi="Calibri" w:cs="Tahoma"/>
          <w:sz w:val="23"/>
          <w:szCs w:val="23"/>
        </w:rPr>
        <w:t>Dokumentacja projektowa- rysunki techniczne rys. 1-5,</w:t>
      </w:r>
    </w:p>
    <w:p w:rsidR="00CC73D1" w:rsidRPr="00351C34" w:rsidRDefault="00CC73D1" w:rsidP="000957DF">
      <w:pPr>
        <w:pStyle w:val="Akapitzlist"/>
        <w:numPr>
          <w:ilvl w:val="1"/>
          <w:numId w:val="7"/>
        </w:numPr>
        <w:ind w:left="426"/>
        <w:jc w:val="both"/>
        <w:rPr>
          <w:rFonts w:ascii="Calibri" w:hAnsi="Calibri" w:cs="Tahoma"/>
          <w:sz w:val="23"/>
          <w:szCs w:val="23"/>
        </w:rPr>
      </w:pPr>
      <w:r w:rsidRPr="00351C34">
        <w:rPr>
          <w:rFonts w:ascii="Calibri" w:hAnsi="Calibri" w:cs="Tahoma"/>
          <w:sz w:val="23"/>
          <w:szCs w:val="23"/>
        </w:rPr>
        <w:t>Przedm</w:t>
      </w:r>
      <w:r w:rsidR="00DD368E">
        <w:rPr>
          <w:rFonts w:ascii="Calibri" w:hAnsi="Calibri" w:cs="Tahoma"/>
          <w:sz w:val="23"/>
          <w:szCs w:val="23"/>
        </w:rPr>
        <w:t>iar robót ,</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p>
    <w:p w:rsidR="00CC73D1" w:rsidRPr="00351C34" w:rsidRDefault="00CC73D1" w:rsidP="00DD368E">
      <w:pPr>
        <w:spacing w:after="120"/>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osiągnięcia rezultatu określonego w ust. 1, niezależnie od tego, czy wynikają one wpr</w:t>
      </w:r>
      <w:r w:rsidR="00EA1E42" w:rsidRPr="00351C34">
        <w:rPr>
          <w:rFonts w:ascii="Calibri" w:hAnsi="Calibri" w:cs="Tahoma"/>
          <w:sz w:val="23"/>
          <w:szCs w:val="23"/>
        </w:rPr>
        <w:t>ost z dokumentów wymienionych w </w:t>
      </w:r>
      <w:r w:rsidRPr="00351C34">
        <w:rPr>
          <w:rFonts w:ascii="Calibri" w:hAnsi="Calibri" w:cs="Tahoma"/>
          <w:sz w:val="23"/>
          <w:szCs w:val="23"/>
        </w:rPr>
        <w:t>ust. 3.</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 xml:space="preserve">zapewnienie obsługi geodezyjnej (wytyczenie punktów głównych, obsługa w trakcie realizacji), sporządzenie szkiców inwentaryzacyjnych robót zanikających, wykonanie szczegółowej inwentaryzacji powykonawczej wskazującej ilości wykonanych robót (powierzchnia i rodzaj </w:t>
      </w:r>
      <w:r w:rsidRPr="00351C34">
        <w:rPr>
          <w:rFonts w:ascii="Calibri" w:hAnsi="Calibri" w:cs="Tahoma"/>
          <w:bCs/>
          <w:snapToGrid w:val="0"/>
          <w:sz w:val="23"/>
          <w:szCs w:val="23"/>
        </w:rPr>
        <w:lastRenderedPageBreak/>
        <w:t>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Pr="00DE1BC3" w:rsidRDefault="00CC73D1" w:rsidP="00DE1BC3">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t>
      </w:r>
      <w:r w:rsidR="000B166F">
        <w:rPr>
          <w:rFonts w:ascii="Calibri" w:hAnsi="Calibri" w:cs="Tahoma"/>
          <w:bCs/>
          <w:snapToGrid w:val="0"/>
          <w:sz w:val="23"/>
          <w:szCs w:val="23"/>
        </w:rPr>
        <w:t xml:space="preserve">w  dokumentacji projektowej. </w:t>
      </w:r>
      <w:r w:rsidRPr="00351C34">
        <w:rPr>
          <w:rFonts w:ascii="Calibri" w:hAnsi="Calibri" w:cs="Tahoma"/>
          <w:bCs/>
          <w:snapToGrid w:val="0"/>
          <w:sz w:val="23"/>
          <w:szCs w:val="23"/>
        </w:rPr>
        <w:t xml:space="preserve">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812235" w:rsidRPr="00812235" w:rsidRDefault="00812235" w:rsidP="00061B99">
      <w:pPr>
        <w:autoSpaceDE w:val="0"/>
        <w:autoSpaceDN w:val="0"/>
        <w:adjustRightInd w:val="0"/>
        <w:jc w:val="center"/>
        <w:rPr>
          <w:rFonts w:ascii="Calibri" w:hAnsi="Calibri" w:cs="Tahoma"/>
          <w:b/>
          <w:sz w:val="16"/>
          <w:szCs w:val="16"/>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w:t>
      </w:r>
      <w:r w:rsidR="00F977D2">
        <w:rPr>
          <w:rFonts w:ascii="Calibri" w:hAnsi="Calibri" w:cs="Tahoma"/>
          <w:sz w:val="23"/>
          <w:szCs w:val="23"/>
        </w:rPr>
        <w:t xml:space="preserve"> 2014r., poz. 883 z późn. zm.) .</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w:t>
      </w:r>
      <w:r w:rsidR="00F977D2">
        <w:rPr>
          <w:rFonts w:ascii="Calibri" w:hAnsi="Calibri" w:cs="Tahoma"/>
          <w:sz w:val="23"/>
          <w:szCs w:val="23"/>
        </w:rPr>
        <w:t>obót.</w:t>
      </w:r>
    </w:p>
    <w:p w:rsidR="00CC73D1" w:rsidRPr="00351C34" w:rsidRDefault="00CC73D1" w:rsidP="00D63CF7">
      <w:pPr>
        <w:numPr>
          <w:ilvl w:val="0"/>
          <w:numId w:val="10"/>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 1 egzemplarz dokumentacji projektowej </w:t>
      </w:r>
      <w:r w:rsidR="00CC2342">
        <w:rPr>
          <w:rFonts w:ascii="Calibri" w:hAnsi="Calibri" w:cs="Tahoma"/>
          <w:sz w:val="23"/>
          <w:szCs w:val="23"/>
        </w:rPr>
        <w:t xml:space="preserve">( rysunki techniczne) </w:t>
      </w:r>
      <w:r w:rsidRPr="00351C34">
        <w:rPr>
          <w:rFonts w:ascii="Calibri" w:hAnsi="Calibri" w:cs="Tahoma"/>
          <w:sz w:val="23"/>
          <w:szCs w:val="23"/>
        </w:rPr>
        <w:t>oraz inne dokumenty niezbędne do wykonania zamówienia.</w:t>
      </w:r>
    </w:p>
    <w:p w:rsidR="00CC73D1" w:rsidRPr="00351C34" w:rsidRDefault="00CC73D1" w:rsidP="008876D3">
      <w:pPr>
        <w:pStyle w:val="Akapitzlist"/>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2009C3">
        <w:rPr>
          <w:rFonts w:ascii="Calibri" w:hAnsi="Calibri" w:cs="Tahoma"/>
          <w:b/>
          <w:sz w:val="23"/>
          <w:szCs w:val="23"/>
          <w:u w:val="single"/>
        </w:rPr>
        <w:t>30.11</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w:t>
      </w:r>
      <w:r w:rsidR="00D72F99">
        <w:rPr>
          <w:rFonts w:ascii="Calibri" w:hAnsi="Calibri" w:cs="Tahoma"/>
          <w:sz w:val="23"/>
          <w:szCs w:val="23"/>
        </w:rPr>
        <w:t>o stanowiącego załącznik do zapytania ofertowego</w:t>
      </w:r>
      <w:r w:rsidRPr="00351C34">
        <w:rPr>
          <w:rFonts w:ascii="Calibri" w:hAnsi="Calibri" w:cs="Tahoma"/>
          <w:sz w:val="23"/>
          <w:szCs w:val="23"/>
        </w:rPr>
        <w:t>,</w:t>
      </w:r>
      <w:r w:rsidR="00D72F99">
        <w:rPr>
          <w:rFonts w:ascii="Calibri" w:hAnsi="Calibri" w:cs="Tahoma"/>
          <w:sz w:val="23"/>
          <w:szCs w:val="23"/>
        </w:rPr>
        <w:t xml:space="preserve"> </w:t>
      </w:r>
      <w:r w:rsidRPr="00351C34">
        <w:rPr>
          <w:rFonts w:ascii="Calibri" w:hAnsi="Calibri" w:cs="Tahoma"/>
          <w:sz w:val="23"/>
          <w:szCs w:val="23"/>
        </w:rPr>
        <w:t>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7B745B">
      <w:pPr>
        <w:pStyle w:val="Tekstpodstawowy"/>
        <w:numPr>
          <w:ilvl w:val="0"/>
          <w:numId w:val="12"/>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lastRenderedPageBreak/>
        <w:t>Cena obejmuje wszystkie prace określone w d</w:t>
      </w:r>
      <w:r w:rsidR="002979E1">
        <w:rPr>
          <w:rFonts w:ascii="Calibri" w:hAnsi="Calibri" w:cs="Tahoma"/>
          <w:snapToGrid w:val="0"/>
          <w:sz w:val="23"/>
          <w:szCs w:val="23"/>
        </w:rPr>
        <w:t>okumentacji technicznej</w:t>
      </w:r>
      <w:r w:rsidR="004C4770">
        <w:rPr>
          <w:rFonts w:ascii="Calibri" w:hAnsi="Calibri" w:cs="Tahoma"/>
          <w:snapToGrid w:val="0"/>
          <w:sz w:val="23"/>
          <w:szCs w:val="23"/>
        </w:rPr>
        <w:t xml:space="preserve"> (rysunki terchniczne)</w:t>
      </w:r>
      <w:r w:rsidR="002979E1">
        <w:rPr>
          <w:rFonts w:ascii="Calibri" w:hAnsi="Calibri" w:cs="Tahoma"/>
          <w:snapToGrid w:val="0"/>
          <w:sz w:val="23"/>
          <w:szCs w:val="23"/>
        </w:rPr>
        <w:t>,</w:t>
      </w:r>
      <w:r w:rsidRPr="00351C34">
        <w:rPr>
          <w:rFonts w:ascii="Calibri" w:hAnsi="Calibri" w:cs="Tahoma"/>
          <w:snapToGrid w:val="0"/>
          <w:sz w:val="23"/>
          <w:szCs w:val="23"/>
        </w:rPr>
        <w:t xml:space="preserve"> przedmiarze robót załączonym do zapytania ofertowego. Za roboty niewykonane, choć objęte kosztorysem ofertowym, wynagrodzenie Wykonawcy nie przysługuje. </w:t>
      </w:r>
    </w:p>
    <w:p w:rsidR="00CC73D1" w:rsidRPr="00351C34" w:rsidRDefault="00CC73D1" w:rsidP="008876D3">
      <w:pPr>
        <w:pStyle w:val="Akapitzlist"/>
        <w:numPr>
          <w:ilvl w:val="0"/>
          <w:numId w:val="12"/>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95736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DD12D4">
      <w:pPr>
        <w:numPr>
          <w:ilvl w:val="0"/>
          <w:numId w:val="13"/>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przekazanie terenu budowy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A84518">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użycie materiałów gwarantujących odpowiednią jakość wykonania zamówienia oraz o parametrach technicznych i jakościowych nie gorszych niż określone w dok</w:t>
      </w:r>
      <w:r w:rsidR="002979E1">
        <w:rPr>
          <w:rFonts w:ascii="Calibri" w:hAnsi="Calibri" w:cs="Tahoma"/>
          <w:sz w:val="23"/>
          <w:szCs w:val="23"/>
        </w:rPr>
        <w:t>umentacji projektowej ,</w:t>
      </w:r>
    </w:p>
    <w:p w:rsidR="00CC73D1" w:rsidRPr="00351C34" w:rsidRDefault="00CC73D1" w:rsidP="00704B8C">
      <w:pPr>
        <w:pStyle w:val="Akapitzlist"/>
        <w:numPr>
          <w:ilvl w:val="0"/>
          <w:numId w:val="16"/>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zabezpieczenie budowy przed kradzieżą i innymi ujemnymi oddziaływaniami i ponoszenia skutków finansowych z tego tytułu,</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bezzwłoczne powiadamianie na piśmie Zamawiającego o wszelkich możliwych wydarzeniach i okolicznościach mogących wpłynąć na opóźnienie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8876D3">
      <w:pPr>
        <w:numPr>
          <w:ilvl w:val="0"/>
          <w:numId w:val="16"/>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061B99">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055094">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 xml:space="preserve">Jeżeli roboty wynikające z poleceń wprowadzonych postanowieniami § 8 ust. 1 niniejszej umowy, nie odpowiadają opisowi pozycji w kosztorysie ofertowym, Wykonawca powinien przedłożyć do akceptacji Zamawiającego kalkulacje ceny </w:t>
      </w:r>
      <w:r w:rsidRPr="00351C34">
        <w:rPr>
          <w:rFonts w:ascii="Calibri" w:hAnsi="Calibri" w:cs="Tahoma"/>
          <w:sz w:val="23"/>
          <w:szCs w:val="23"/>
        </w:rPr>
        <w:lastRenderedPageBreak/>
        <w:t>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pośrednie Kp (od R+S)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8876D3">
      <w:pPr>
        <w:pStyle w:val="Akapitzlist"/>
        <w:numPr>
          <w:ilvl w:val="0"/>
          <w:numId w:val="18"/>
        </w:numPr>
        <w:jc w:val="both"/>
        <w:rPr>
          <w:rFonts w:ascii="Calibri" w:hAnsi="Calibri" w:cs="Tahoma"/>
          <w:snapToGrid w:val="0"/>
          <w:sz w:val="23"/>
          <w:szCs w:val="23"/>
        </w:rPr>
      </w:pPr>
      <w:r w:rsidRPr="00351C34">
        <w:rPr>
          <w:rFonts w:ascii="Calibri" w:hAnsi="Calibri" w:cs="Tahoma"/>
          <w:sz w:val="23"/>
          <w:szCs w:val="23"/>
        </w:rPr>
        <w:t>zysk (R+S+Kp) - …….. .</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B73139">
      <w:pPr>
        <w:numPr>
          <w:ilvl w:val="0"/>
          <w:numId w:val="17"/>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8876D3">
      <w:pPr>
        <w:pStyle w:val="Akapitzlist"/>
        <w:numPr>
          <w:ilvl w:val="0"/>
          <w:numId w:val="17"/>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0878A7">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8876D3">
      <w:pPr>
        <w:numPr>
          <w:ilvl w:val="0"/>
          <w:numId w:val="19"/>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8876D3">
      <w:pPr>
        <w:pStyle w:val="Tekstpodstawowywcity"/>
        <w:numPr>
          <w:ilvl w:val="0"/>
          <w:numId w:val="19"/>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8876D3">
      <w:pPr>
        <w:pStyle w:val="Tekstpodstawowywcity"/>
        <w:widowControl w:val="0"/>
        <w:numPr>
          <w:ilvl w:val="0"/>
          <w:numId w:val="20"/>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8876D3">
      <w:pPr>
        <w:pStyle w:val="Tekstpodstawowywcity"/>
        <w:numPr>
          <w:ilvl w:val="0"/>
          <w:numId w:val="20"/>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8876D3">
      <w:pPr>
        <w:pStyle w:val="Akapitzlist"/>
        <w:numPr>
          <w:ilvl w:val="0"/>
          <w:numId w:val="20"/>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lastRenderedPageBreak/>
        <w:t>terroryzm, rewolucja, przewrót wojskowy lub cywilny, wojna domowa,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inne wydarzenia losowe.</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8876D3">
      <w:pPr>
        <w:pStyle w:val="Akapitzlist"/>
        <w:numPr>
          <w:ilvl w:val="0"/>
          <w:numId w:val="19"/>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t>
      </w:r>
      <w:r w:rsidR="00BB25B1">
        <w:rPr>
          <w:rFonts w:ascii="Calibri" w:hAnsi="Calibri" w:cs="Tahoma"/>
          <w:sz w:val="23"/>
          <w:szCs w:val="23"/>
        </w:rPr>
        <w:t>wanie robotami budowlanymi</w:t>
      </w:r>
      <w:bookmarkStart w:id="0" w:name="_GoBack"/>
      <w:bookmarkEnd w:id="0"/>
      <w:r w:rsidRPr="00351C34">
        <w:rPr>
          <w:rFonts w:ascii="Calibri" w:hAnsi="Calibri" w:cs="Tahoma"/>
          <w:sz w:val="23"/>
          <w:szCs w:val="23"/>
        </w:rPr>
        <w:t xml:space="preserve">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 powiadomieniem na piśmie z 3 dniowym wyprzedzeniem.</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450701" w:rsidRDefault="00CC73D1" w:rsidP="00450701">
      <w:pPr>
        <w:pStyle w:val="WW-Tekstpodstawowy2"/>
        <w:numPr>
          <w:ilvl w:val="0"/>
          <w:numId w:val="40"/>
        </w:numPr>
        <w:suppressAutoHyphens w:val="0"/>
        <w:ind w:left="426"/>
        <w:rPr>
          <w:rFonts w:ascii="Calibri" w:hAnsi="Calibri" w:cs="Tahoma"/>
          <w:bCs/>
          <w:color w:val="000000"/>
          <w:szCs w:val="24"/>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brykaty</w:t>
      </w:r>
      <w:r w:rsidR="00DE1C80">
        <w:rPr>
          <w:rFonts w:ascii="Calibri" w:hAnsi="Calibri" w:cs="Tahoma"/>
          <w:sz w:val="23"/>
          <w:szCs w:val="23"/>
        </w:rPr>
        <w:t>, materiały i urządzenia,</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8876D3">
      <w:pPr>
        <w:numPr>
          <w:ilvl w:val="0"/>
          <w:numId w:val="3"/>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lastRenderedPageBreak/>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D63CF7">
      <w:pPr>
        <w:numPr>
          <w:ilvl w:val="0"/>
          <w:numId w:val="5"/>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8876D3">
      <w:pPr>
        <w:numPr>
          <w:ilvl w:val="0"/>
          <w:numId w:val="5"/>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8876D3">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CE04DD">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641157" w:rsidRPr="00351C34" w:rsidRDefault="00641157" w:rsidP="00641157">
      <w:pPr>
        <w:pStyle w:val="Akapitzlist"/>
        <w:autoSpaceDE w:val="0"/>
        <w:autoSpaceDN w:val="0"/>
        <w:adjustRightInd w:val="0"/>
        <w:jc w:val="both"/>
        <w:rPr>
          <w:rFonts w:ascii="Calibri" w:hAnsi="Calibri" w:cs="Tahoma"/>
          <w:sz w:val="23"/>
          <w:szCs w:val="23"/>
        </w:rPr>
      </w:pP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lastRenderedPageBreak/>
        <w:t>§ 16</w:t>
      </w:r>
    </w:p>
    <w:p w:rsidR="00CC73D1" w:rsidRPr="00351C34" w:rsidRDefault="00CC73D1" w:rsidP="008876D3">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F36196">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Zabezpieczenie należytego wykonania umowy będzie zwrócone Wykonawcy w terminach i wysokościach jak niżej:</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 xml:space="preserve">W przypadku stwierdzenia w trakcie odbioru końcowego wad nadających się do usunięcia Wykonawca jest zobowiązany do wydłużenia odpowiednio okresu ważności zabezpieczenia </w:t>
      </w:r>
      <w:r w:rsidRPr="00351C34">
        <w:rPr>
          <w:rFonts w:ascii="Calibri" w:hAnsi="Calibri" w:cs="Tahoma"/>
          <w:sz w:val="23"/>
          <w:szCs w:val="23"/>
        </w:rPr>
        <w:lastRenderedPageBreak/>
        <w:t>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1671E3">
      <w:pPr>
        <w:numPr>
          <w:ilvl w:val="0"/>
          <w:numId w:val="29"/>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zgłosi do dokonania przez Zamawiającego odbioru robót przerwanych oraz robót zabezpieczających, jeżeli odstąpienie od umowy, nastąpiło z przyczyn, za które Wykonawca nie odpowiada,</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Ubezpieczeniu podlegają w szczególności:</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F06F40">
      <w:pPr>
        <w:pStyle w:val="Akapitzlist"/>
        <w:numPr>
          <w:ilvl w:val="0"/>
          <w:numId w:val="36"/>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8D1EC4" w:rsidRPr="00351C34" w:rsidRDefault="008D1EC4"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FA55DC" w:rsidP="005A0E6A">
      <w:pPr>
        <w:jc w:val="both"/>
        <w:rPr>
          <w:rFonts w:ascii="Calibri" w:hAnsi="Calibri" w:cs="Arial"/>
          <w:sz w:val="18"/>
          <w:szCs w:val="18"/>
        </w:rPr>
      </w:pPr>
      <w:r>
        <w:rPr>
          <w:rFonts w:ascii="Calibri" w:hAnsi="Calibri" w:cs="Arial"/>
          <w:sz w:val="18"/>
          <w:szCs w:val="18"/>
        </w:rPr>
        <w:t>Halina Ruczyńska</w:t>
      </w:r>
    </w:p>
    <w:p w:rsidR="0005354A" w:rsidRDefault="0005354A" w:rsidP="005A0E6A">
      <w:pPr>
        <w:jc w:val="both"/>
        <w:rPr>
          <w:rFonts w:ascii="Calibri" w:hAnsi="Calibri" w:cs="Arial"/>
          <w:sz w:val="18"/>
          <w:szCs w:val="18"/>
        </w:rPr>
      </w:pP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Tomasz Wrzosek</w:t>
      </w:r>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BB25B1">
      <w:rPr>
        <w:rFonts w:ascii="Calibri" w:hAnsi="Calibri"/>
        <w:noProof/>
        <w:sz w:val="20"/>
        <w:szCs w:val="20"/>
      </w:rPr>
      <w:t>8</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BB25B1">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BB25B1">
      <w:rPr>
        <w:rFonts w:ascii="Calibri" w:hAnsi="Calibri"/>
        <w:noProof/>
        <w:sz w:val="20"/>
        <w:szCs w:val="20"/>
      </w:rPr>
      <w:t>9</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BB25B1">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7592159"/>
    <w:multiLevelType w:val="hybridMultilevel"/>
    <w:tmpl w:val="7D88585C"/>
    <w:lvl w:ilvl="0" w:tplc="04150011">
      <w:start w:val="1"/>
      <w:numFmt w:val="decimal"/>
      <w:lvlText w:val="%1)"/>
      <w:lvlJc w:val="left"/>
      <w:pPr>
        <w:ind w:left="709" w:hanging="360"/>
      </w:pPr>
      <w:rPr>
        <w:rFonts w:cs="Times New Roman"/>
      </w:r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 w15:restartNumberingAfterBreak="0">
    <w:nsid w:val="09BF06C6"/>
    <w:multiLevelType w:val="hybridMultilevel"/>
    <w:tmpl w:val="095C4D2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807760"/>
    <w:multiLevelType w:val="hybridMultilevel"/>
    <w:tmpl w:val="DEACF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5"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5" w15:restartNumberingAfterBreak="0">
    <w:nsid w:val="43CD54BA"/>
    <w:multiLevelType w:val="hybridMultilevel"/>
    <w:tmpl w:val="56567FC8"/>
    <w:lvl w:ilvl="0" w:tplc="0415000F">
      <w:start w:val="1"/>
      <w:numFmt w:val="decimal"/>
      <w:lvlText w:val="%1."/>
      <w:lvlJc w:val="left"/>
      <w:pPr>
        <w:ind w:left="360" w:hanging="360"/>
      </w:pPr>
      <w:rPr>
        <w:rFonts w:cs="Times New Roman"/>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81F044A"/>
    <w:multiLevelType w:val="hybridMultilevel"/>
    <w:tmpl w:val="6548F18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34"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A7370BE"/>
    <w:multiLevelType w:val="hybridMultilevel"/>
    <w:tmpl w:val="C4AC7CBA"/>
    <w:lvl w:ilvl="0" w:tplc="75DE6890">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41"/>
  </w:num>
  <w:num w:numId="3">
    <w:abstractNumId w:val="24"/>
  </w:num>
  <w:num w:numId="4">
    <w:abstractNumId w:val="17"/>
  </w:num>
  <w:num w:numId="5">
    <w:abstractNumId w:val="32"/>
  </w:num>
  <w:num w:numId="6">
    <w:abstractNumId w:val="8"/>
  </w:num>
  <w:num w:numId="7">
    <w:abstractNumId w:val="15"/>
  </w:num>
  <w:num w:numId="8">
    <w:abstractNumId w:val="28"/>
  </w:num>
  <w:num w:numId="9">
    <w:abstractNumId w:val="16"/>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1"/>
  </w:num>
  <w:num w:numId="19">
    <w:abstractNumId w:val="1"/>
  </w:num>
  <w:num w:numId="20">
    <w:abstractNumId w:val="11"/>
  </w:num>
  <w:num w:numId="21">
    <w:abstractNumId w:val="39"/>
  </w:num>
  <w:num w:numId="22">
    <w:abstractNumId w:val="43"/>
  </w:num>
  <w:num w:numId="23">
    <w:abstractNumId w:val="18"/>
  </w:num>
  <w:num w:numId="24">
    <w:abstractNumId w:val="40"/>
  </w:num>
  <w:num w:numId="25">
    <w:abstractNumId w:val="7"/>
  </w:num>
  <w:num w:numId="26">
    <w:abstractNumId w:val="22"/>
  </w:num>
  <w:num w:numId="27">
    <w:abstractNumId w:val="26"/>
  </w:num>
  <w:num w:numId="28">
    <w:abstractNumId w:val="6"/>
  </w:num>
  <w:num w:numId="29">
    <w:abstractNumId w:val="19"/>
  </w:num>
  <w:num w:numId="30">
    <w:abstractNumId w:val="38"/>
  </w:num>
  <w:num w:numId="31">
    <w:abstractNumId w:val="20"/>
  </w:num>
  <w:num w:numId="32">
    <w:abstractNumId w:val="47"/>
  </w:num>
  <w:num w:numId="33">
    <w:abstractNumId w:val="12"/>
  </w:num>
  <w:num w:numId="34">
    <w:abstractNumId w:val="23"/>
  </w:num>
  <w:num w:numId="35">
    <w:abstractNumId w:val="21"/>
  </w:num>
  <w:num w:numId="36">
    <w:abstractNumId w:val="9"/>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5"/>
  </w:num>
  <w:num w:numId="44">
    <w:abstractNumId w:val="48"/>
  </w:num>
  <w:num w:numId="45">
    <w:abstractNumId w:val="13"/>
  </w:num>
  <w:num w:numId="46">
    <w:abstractNumId w:val="42"/>
  </w:num>
  <w:num w:numId="47">
    <w:abstractNumId w:val="30"/>
  </w:num>
  <w:num w:numId="48">
    <w:abstractNumId w:val="14"/>
  </w:num>
  <w:num w:numId="49">
    <w:abstractNumId w:val="46"/>
  </w:num>
  <w:num w:numId="5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D2A"/>
    <w:rsid w:val="0000005F"/>
    <w:rsid w:val="00003ACF"/>
    <w:rsid w:val="00013E58"/>
    <w:rsid w:val="00020351"/>
    <w:rsid w:val="00022E7E"/>
    <w:rsid w:val="0003176A"/>
    <w:rsid w:val="00031C13"/>
    <w:rsid w:val="0003488F"/>
    <w:rsid w:val="00035A44"/>
    <w:rsid w:val="00036727"/>
    <w:rsid w:val="000403CC"/>
    <w:rsid w:val="00044253"/>
    <w:rsid w:val="0005354A"/>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166F"/>
    <w:rsid w:val="000B3ABA"/>
    <w:rsid w:val="000C2731"/>
    <w:rsid w:val="000C3A0A"/>
    <w:rsid w:val="000C65A3"/>
    <w:rsid w:val="000C6DDD"/>
    <w:rsid w:val="000D1735"/>
    <w:rsid w:val="000D3AC1"/>
    <w:rsid w:val="000D7666"/>
    <w:rsid w:val="000E3ABA"/>
    <w:rsid w:val="000F1FCF"/>
    <w:rsid w:val="000F2A3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5090C"/>
    <w:rsid w:val="00150D13"/>
    <w:rsid w:val="001573AB"/>
    <w:rsid w:val="00160C06"/>
    <w:rsid w:val="00163477"/>
    <w:rsid w:val="00164321"/>
    <w:rsid w:val="001671E3"/>
    <w:rsid w:val="00172FE6"/>
    <w:rsid w:val="0017610F"/>
    <w:rsid w:val="001808AA"/>
    <w:rsid w:val="00181594"/>
    <w:rsid w:val="00183019"/>
    <w:rsid w:val="00184434"/>
    <w:rsid w:val="00184F4C"/>
    <w:rsid w:val="00185FC4"/>
    <w:rsid w:val="00186C38"/>
    <w:rsid w:val="00190F37"/>
    <w:rsid w:val="00191D5A"/>
    <w:rsid w:val="0019262F"/>
    <w:rsid w:val="001A75B8"/>
    <w:rsid w:val="001B3501"/>
    <w:rsid w:val="001B38A5"/>
    <w:rsid w:val="001B74C9"/>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09C3"/>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9E1"/>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56"/>
    <w:rsid w:val="00304E81"/>
    <w:rsid w:val="00307A8B"/>
    <w:rsid w:val="0031379B"/>
    <w:rsid w:val="00314EE4"/>
    <w:rsid w:val="0031606A"/>
    <w:rsid w:val="00316FAC"/>
    <w:rsid w:val="00317B8A"/>
    <w:rsid w:val="003255E7"/>
    <w:rsid w:val="00325952"/>
    <w:rsid w:val="003270B9"/>
    <w:rsid w:val="00335995"/>
    <w:rsid w:val="00337A32"/>
    <w:rsid w:val="00341635"/>
    <w:rsid w:val="00345803"/>
    <w:rsid w:val="00347EF9"/>
    <w:rsid w:val="00347FE9"/>
    <w:rsid w:val="00350039"/>
    <w:rsid w:val="0035067C"/>
    <w:rsid w:val="00351804"/>
    <w:rsid w:val="00351C34"/>
    <w:rsid w:val="00354531"/>
    <w:rsid w:val="00354C49"/>
    <w:rsid w:val="0035625A"/>
    <w:rsid w:val="0035680E"/>
    <w:rsid w:val="00360F37"/>
    <w:rsid w:val="00362068"/>
    <w:rsid w:val="00362B0E"/>
    <w:rsid w:val="0036724E"/>
    <w:rsid w:val="003714B8"/>
    <w:rsid w:val="00375EC6"/>
    <w:rsid w:val="003763A7"/>
    <w:rsid w:val="003772CA"/>
    <w:rsid w:val="00382C3C"/>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1FE3"/>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866"/>
    <w:rsid w:val="00460B7A"/>
    <w:rsid w:val="00464576"/>
    <w:rsid w:val="0047008B"/>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770"/>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0060"/>
    <w:rsid w:val="00575258"/>
    <w:rsid w:val="00580300"/>
    <w:rsid w:val="00580329"/>
    <w:rsid w:val="00581FA4"/>
    <w:rsid w:val="005825EA"/>
    <w:rsid w:val="00583161"/>
    <w:rsid w:val="00584A35"/>
    <w:rsid w:val="005850BD"/>
    <w:rsid w:val="0058721D"/>
    <w:rsid w:val="00587413"/>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1B78"/>
    <w:rsid w:val="00632DD4"/>
    <w:rsid w:val="0063305A"/>
    <w:rsid w:val="00633146"/>
    <w:rsid w:val="006342D4"/>
    <w:rsid w:val="00634BDF"/>
    <w:rsid w:val="00636085"/>
    <w:rsid w:val="00641157"/>
    <w:rsid w:val="00642DE0"/>
    <w:rsid w:val="00643473"/>
    <w:rsid w:val="00651E4D"/>
    <w:rsid w:val="00652241"/>
    <w:rsid w:val="00654E7D"/>
    <w:rsid w:val="00655BA1"/>
    <w:rsid w:val="00656CB2"/>
    <w:rsid w:val="00672249"/>
    <w:rsid w:val="00673B37"/>
    <w:rsid w:val="006745A0"/>
    <w:rsid w:val="00676320"/>
    <w:rsid w:val="00682891"/>
    <w:rsid w:val="00682E80"/>
    <w:rsid w:val="00686605"/>
    <w:rsid w:val="006874C8"/>
    <w:rsid w:val="0069140A"/>
    <w:rsid w:val="00691822"/>
    <w:rsid w:val="0069401C"/>
    <w:rsid w:val="006979E3"/>
    <w:rsid w:val="006A10EE"/>
    <w:rsid w:val="006A4831"/>
    <w:rsid w:val="006A4932"/>
    <w:rsid w:val="006A68E1"/>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771EC"/>
    <w:rsid w:val="00780118"/>
    <w:rsid w:val="0078261E"/>
    <w:rsid w:val="007826CA"/>
    <w:rsid w:val="0078279D"/>
    <w:rsid w:val="00783341"/>
    <w:rsid w:val="00783D15"/>
    <w:rsid w:val="00784D10"/>
    <w:rsid w:val="00786981"/>
    <w:rsid w:val="00787499"/>
    <w:rsid w:val="00787895"/>
    <w:rsid w:val="00790944"/>
    <w:rsid w:val="00790D9C"/>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75F1"/>
    <w:rsid w:val="00802982"/>
    <w:rsid w:val="0080396F"/>
    <w:rsid w:val="00807168"/>
    <w:rsid w:val="00807F5C"/>
    <w:rsid w:val="00810CE8"/>
    <w:rsid w:val="00812235"/>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706D"/>
    <w:rsid w:val="008F14D6"/>
    <w:rsid w:val="008F337B"/>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218A"/>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312C2"/>
    <w:rsid w:val="00A34B7A"/>
    <w:rsid w:val="00A3612B"/>
    <w:rsid w:val="00A367B4"/>
    <w:rsid w:val="00A370A9"/>
    <w:rsid w:val="00A41151"/>
    <w:rsid w:val="00A43BCD"/>
    <w:rsid w:val="00A46711"/>
    <w:rsid w:val="00A51240"/>
    <w:rsid w:val="00A52DFF"/>
    <w:rsid w:val="00A57662"/>
    <w:rsid w:val="00A609F4"/>
    <w:rsid w:val="00A64F6F"/>
    <w:rsid w:val="00A6587B"/>
    <w:rsid w:val="00A67A79"/>
    <w:rsid w:val="00A77028"/>
    <w:rsid w:val="00A84518"/>
    <w:rsid w:val="00A85C43"/>
    <w:rsid w:val="00A85F54"/>
    <w:rsid w:val="00A87C2B"/>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1A1F"/>
    <w:rsid w:val="00AE212D"/>
    <w:rsid w:val="00AE2991"/>
    <w:rsid w:val="00AF36D9"/>
    <w:rsid w:val="00AF42A4"/>
    <w:rsid w:val="00AF5B0E"/>
    <w:rsid w:val="00AF5F06"/>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0D8"/>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2203"/>
    <w:rsid w:val="00BA4C5B"/>
    <w:rsid w:val="00BB25B1"/>
    <w:rsid w:val="00BB2A8C"/>
    <w:rsid w:val="00BB4DA0"/>
    <w:rsid w:val="00BB7DB2"/>
    <w:rsid w:val="00BC1EA9"/>
    <w:rsid w:val="00BC3667"/>
    <w:rsid w:val="00BC61C4"/>
    <w:rsid w:val="00BC6978"/>
    <w:rsid w:val="00BD04B4"/>
    <w:rsid w:val="00BD1422"/>
    <w:rsid w:val="00BD5952"/>
    <w:rsid w:val="00BD6EFB"/>
    <w:rsid w:val="00BE1704"/>
    <w:rsid w:val="00BE2F1E"/>
    <w:rsid w:val="00BE44D5"/>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4479"/>
    <w:rsid w:val="00C608E2"/>
    <w:rsid w:val="00C60C77"/>
    <w:rsid w:val="00C63368"/>
    <w:rsid w:val="00C64BD3"/>
    <w:rsid w:val="00C65235"/>
    <w:rsid w:val="00C76158"/>
    <w:rsid w:val="00C76AE8"/>
    <w:rsid w:val="00C7723E"/>
    <w:rsid w:val="00C8343C"/>
    <w:rsid w:val="00C835AC"/>
    <w:rsid w:val="00C83EF7"/>
    <w:rsid w:val="00C85BDF"/>
    <w:rsid w:val="00C95089"/>
    <w:rsid w:val="00C9670D"/>
    <w:rsid w:val="00CA1468"/>
    <w:rsid w:val="00CA2418"/>
    <w:rsid w:val="00CA2782"/>
    <w:rsid w:val="00CA3388"/>
    <w:rsid w:val="00CA6005"/>
    <w:rsid w:val="00CA6DD9"/>
    <w:rsid w:val="00CB0E9F"/>
    <w:rsid w:val="00CB7AD4"/>
    <w:rsid w:val="00CC1C3F"/>
    <w:rsid w:val="00CC2342"/>
    <w:rsid w:val="00CC40CA"/>
    <w:rsid w:val="00CC73D1"/>
    <w:rsid w:val="00CC791B"/>
    <w:rsid w:val="00CD00E7"/>
    <w:rsid w:val="00CD0C1F"/>
    <w:rsid w:val="00CD428B"/>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4310F"/>
    <w:rsid w:val="00D45E36"/>
    <w:rsid w:val="00D4740C"/>
    <w:rsid w:val="00D507E4"/>
    <w:rsid w:val="00D50B16"/>
    <w:rsid w:val="00D522A4"/>
    <w:rsid w:val="00D526D8"/>
    <w:rsid w:val="00D56678"/>
    <w:rsid w:val="00D608E4"/>
    <w:rsid w:val="00D6337D"/>
    <w:rsid w:val="00D63CF7"/>
    <w:rsid w:val="00D653C9"/>
    <w:rsid w:val="00D65DE8"/>
    <w:rsid w:val="00D65F86"/>
    <w:rsid w:val="00D70A10"/>
    <w:rsid w:val="00D70BA1"/>
    <w:rsid w:val="00D72F99"/>
    <w:rsid w:val="00D75558"/>
    <w:rsid w:val="00D770FD"/>
    <w:rsid w:val="00D772E8"/>
    <w:rsid w:val="00D802A1"/>
    <w:rsid w:val="00D86858"/>
    <w:rsid w:val="00D924E3"/>
    <w:rsid w:val="00D93584"/>
    <w:rsid w:val="00D9515B"/>
    <w:rsid w:val="00DA188F"/>
    <w:rsid w:val="00DA1F43"/>
    <w:rsid w:val="00DA20F7"/>
    <w:rsid w:val="00DB1541"/>
    <w:rsid w:val="00DB44AD"/>
    <w:rsid w:val="00DB5F74"/>
    <w:rsid w:val="00DB6D1C"/>
    <w:rsid w:val="00DB74D5"/>
    <w:rsid w:val="00DC3A2E"/>
    <w:rsid w:val="00DC664B"/>
    <w:rsid w:val="00DD12D4"/>
    <w:rsid w:val="00DD1454"/>
    <w:rsid w:val="00DD1C25"/>
    <w:rsid w:val="00DD23FD"/>
    <w:rsid w:val="00DD3073"/>
    <w:rsid w:val="00DD368E"/>
    <w:rsid w:val="00DD5F90"/>
    <w:rsid w:val="00DD6D50"/>
    <w:rsid w:val="00DE1BC3"/>
    <w:rsid w:val="00DE1C80"/>
    <w:rsid w:val="00DE1F5E"/>
    <w:rsid w:val="00DE3C68"/>
    <w:rsid w:val="00DE456F"/>
    <w:rsid w:val="00DE7698"/>
    <w:rsid w:val="00DF6E8C"/>
    <w:rsid w:val="00E025C5"/>
    <w:rsid w:val="00E04F39"/>
    <w:rsid w:val="00E0588B"/>
    <w:rsid w:val="00E06210"/>
    <w:rsid w:val="00E0795A"/>
    <w:rsid w:val="00E07DB8"/>
    <w:rsid w:val="00E10C4F"/>
    <w:rsid w:val="00E11035"/>
    <w:rsid w:val="00E12DDE"/>
    <w:rsid w:val="00E14777"/>
    <w:rsid w:val="00E2213D"/>
    <w:rsid w:val="00E227CB"/>
    <w:rsid w:val="00E22933"/>
    <w:rsid w:val="00E24C27"/>
    <w:rsid w:val="00E25154"/>
    <w:rsid w:val="00E3006A"/>
    <w:rsid w:val="00E311A1"/>
    <w:rsid w:val="00E33423"/>
    <w:rsid w:val="00E34842"/>
    <w:rsid w:val="00E34FF0"/>
    <w:rsid w:val="00E35C48"/>
    <w:rsid w:val="00E417D0"/>
    <w:rsid w:val="00E41E24"/>
    <w:rsid w:val="00E423A3"/>
    <w:rsid w:val="00E46194"/>
    <w:rsid w:val="00E46374"/>
    <w:rsid w:val="00E469FE"/>
    <w:rsid w:val="00E47384"/>
    <w:rsid w:val="00E4767F"/>
    <w:rsid w:val="00E529BB"/>
    <w:rsid w:val="00E5659B"/>
    <w:rsid w:val="00E56CC0"/>
    <w:rsid w:val="00E6497B"/>
    <w:rsid w:val="00E67074"/>
    <w:rsid w:val="00E7593F"/>
    <w:rsid w:val="00E8111B"/>
    <w:rsid w:val="00E82A88"/>
    <w:rsid w:val="00E90E89"/>
    <w:rsid w:val="00E95B09"/>
    <w:rsid w:val="00EA1076"/>
    <w:rsid w:val="00EA1E42"/>
    <w:rsid w:val="00EA221E"/>
    <w:rsid w:val="00EA2806"/>
    <w:rsid w:val="00EA4488"/>
    <w:rsid w:val="00EB0257"/>
    <w:rsid w:val="00EB1D1C"/>
    <w:rsid w:val="00EB4457"/>
    <w:rsid w:val="00EB50CC"/>
    <w:rsid w:val="00EB6522"/>
    <w:rsid w:val="00EB6E07"/>
    <w:rsid w:val="00EC0996"/>
    <w:rsid w:val="00EC3248"/>
    <w:rsid w:val="00EC330C"/>
    <w:rsid w:val="00EC66AF"/>
    <w:rsid w:val="00ED28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630DD"/>
    <w:rsid w:val="00F654F7"/>
    <w:rsid w:val="00F6680F"/>
    <w:rsid w:val="00F83FAF"/>
    <w:rsid w:val="00F863E2"/>
    <w:rsid w:val="00F92B16"/>
    <w:rsid w:val="00F93EEA"/>
    <w:rsid w:val="00F942E2"/>
    <w:rsid w:val="00F947DB"/>
    <w:rsid w:val="00F95E2C"/>
    <w:rsid w:val="00F977D2"/>
    <w:rsid w:val="00F9794E"/>
    <w:rsid w:val="00FA18A6"/>
    <w:rsid w:val="00FA4768"/>
    <w:rsid w:val="00FA55DC"/>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365CC"/>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 w:id="190502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1752</TotalTime>
  <Pages>10</Pages>
  <Words>4600</Words>
  <Characters>27604</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Halina Ruczyńska</cp:lastModifiedBy>
  <cp:revision>216</cp:revision>
  <cp:lastPrinted>2017-09-12T13:05:00Z</cp:lastPrinted>
  <dcterms:created xsi:type="dcterms:W3CDTF">2016-03-17T08:10:00Z</dcterms:created>
  <dcterms:modified xsi:type="dcterms:W3CDTF">2018-08-27T06:38:00Z</dcterms:modified>
</cp:coreProperties>
</file>