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B67018">
        <w:rPr>
          <w:rFonts w:ascii="Calibri" w:hAnsi="Calibri"/>
          <w:b/>
          <w:sz w:val="28"/>
          <w:szCs w:val="28"/>
        </w:rPr>
        <w:t>Doposażenie placów zabaw i terenów rekreacyjnych na terenie Mrągowa</w:t>
      </w:r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1</w:t>
      </w:r>
      <w:r w:rsidR="00B67018">
        <w:rPr>
          <w:rFonts w:ascii="Calibri" w:hAnsi="Calibri" w:cs="Tahoma"/>
          <w:b/>
          <w:sz w:val="22"/>
          <w:szCs w:val="22"/>
          <w:u w:val="single"/>
        </w:rPr>
        <w:t>7.10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67018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EB4D3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258</Words>
  <Characters>1553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29</cp:revision>
  <cp:lastPrinted>2017-03-16T10:54:00Z</cp:lastPrinted>
  <dcterms:created xsi:type="dcterms:W3CDTF">2016-03-17T08:10:00Z</dcterms:created>
  <dcterms:modified xsi:type="dcterms:W3CDTF">2018-08-09T08:15:00Z</dcterms:modified>
</cp:coreProperties>
</file>