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/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Uchwała Nr </w:t>
      </w:r>
      <w:r>
        <w:rPr>
          <w:rFonts w:cs="Bookman Old Style" w:ascii="Bookman Old Style" w:hAnsi="Bookman Old Style"/>
          <w:b/>
          <w:bCs/>
          <w:sz w:val="24"/>
          <w:szCs w:val="24"/>
        </w:rPr>
        <w:t>XL/3/2018</w:t>
      </w: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 </w:t>
        <w:br/>
        <w:t xml:space="preserve">Rady Miejskiej w Mrągowie 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z dnia 25.01.2018 r.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w sprawie uchwalenia Wieloletniej Prognozy Finansowej Gminy Miasto Mrągowo na lata 2018 – 2025.</w:t>
      </w:r>
    </w:p>
    <w:p>
      <w:pPr>
        <w:pStyle w:val="Normal"/>
        <w:widowControl w:val="false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Na podstawie art. 226, art. 227, art. 228, art. 230 ust. 6 i art. 243 ustawy z dnia 27 sierpnia 2009 r. o finansach publicznych (t.j. Dz. U. z 2017 r., poz. 2077) oraz art. 18 ust. 2 pkt 6 ustawy z dnia 8 marca 1990 r. o samorządzie gminnym (t.j. Dz. U. z 2017 r., poz. 1875, zm. poz.2232)  </w:t>
      </w:r>
    </w:p>
    <w:p>
      <w:pPr>
        <w:pStyle w:val="Normal"/>
        <w:widowControl w:val="false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both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                                </w:t>
      </w:r>
      <w:r>
        <w:rPr>
          <w:rFonts w:cs="Bookman Old Style" w:ascii="Bookman Old Style" w:hAnsi="Bookman Old Style"/>
          <w:b/>
          <w:bCs/>
          <w:sz w:val="24"/>
          <w:szCs w:val="24"/>
        </w:rPr>
        <w:t>Rada Miejska uchwala, co następuje: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1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 Uchwale Rady Miejskiej Nr XXXIX/1/2017, z dnia 21 grudnia 2017 r. w sprawie uchwalenia Wieloletniej Prognozy Finansowej Gminy Miasto Mrągowo na lata 2018 – 2025, dokonuje się następujących zmian: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1) Wieloletnia Prognoza Finansowa Gminy Miasto Mrągowo na lata                  2018 – 2025 otrzymuje brzmienie, zgodnie z </w:t>
      </w:r>
      <w:r>
        <w:rPr>
          <w:rFonts w:cs="Bookman Old Style" w:ascii="Bookman Old Style" w:hAnsi="Bookman Old Style"/>
          <w:color w:val="000000"/>
          <w:sz w:val="24"/>
          <w:szCs w:val="24"/>
        </w:rPr>
        <w:t>załącznikiem nr 1.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color w:val="000000"/>
          <w:sz w:val="24"/>
          <w:szCs w:val="24"/>
        </w:rPr>
        <w:t>2) Wykaz przedsięwzięć realizowanych w latach 2018-2025 otrzymuje brzmienie, zgodnie z załącznikiem nr 2.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2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Wykonanie uchwały powierza się Burmistrzowi Miasta.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3</w:t>
      </w:r>
    </w:p>
    <w:p>
      <w:pPr>
        <w:pStyle w:val="Normal"/>
        <w:tabs>
          <w:tab w:val="left" w:pos="5670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</w:tabs>
        <w:spacing w:before="0"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Uchwała wchodzi w życie z dniem podjęcia i podlega ogłoszeniu w sposób zwyczajowo przyjęty.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 xml:space="preserve">     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Przewodniczący Rady Miejskiej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  <w:tab/>
        <w:t>Tadeusz Orzoł</w:t>
      </w:r>
    </w:p>
    <w:p>
      <w:pPr>
        <w:pStyle w:val="Normal"/>
        <w:widowControl w:val="false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Bookman Old Style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LibreOffice/5.1.0.3$Windows_x86 LibreOffice_project/5e3e00a007d9b3b6efb6797a8b8e57b51ab1f737</Application>
  <Pages>1</Pages>
  <Words>181</Words>
  <Characters>935</Characters>
  <CharactersWithSpaces>1183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2018-01-25T08:33:00Z</dcterms:created>
  <dc:creator>Ewelina Świder</dc:creator>
  <dc:description/>
  <dc:language>pl-PL</dc:language>
  <cp:lastModifiedBy/>
  <dcterms:modified xsi:type="dcterms:W3CDTF">2018-01-30T11:54:48Z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