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/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Uchwała Nr </w:t>
      </w:r>
      <w:r>
        <w:rPr>
          <w:rFonts w:cs="Bookman Old Style" w:ascii="Bookman Old Style" w:hAnsi="Bookman Old Style"/>
          <w:b/>
          <w:bCs/>
          <w:sz w:val="24"/>
          <w:szCs w:val="24"/>
        </w:rPr>
        <w:t>XXXIX/1/</w:t>
      </w: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2017    </w:t>
        <w:br/>
        <w:t xml:space="preserve">Rady Miejskiej w Mrągowie 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z dnia </w:t>
      </w: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21 grudnia </w:t>
      </w:r>
      <w:r>
        <w:rPr>
          <w:rFonts w:cs="Bookman Old Style" w:ascii="Bookman Old Style" w:hAnsi="Bookman Old Style"/>
          <w:b/>
          <w:bCs/>
          <w:sz w:val="24"/>
          <w:szCs w:val="24"/>
        </w:rPr>
        <w:t>2017 r.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w sprawie uchwalenia Wieloletniej Prognozy Finansowej Gminy Miasto Mrągowo na lata 2018 – 2025.</w:t>
      </w:r>
    </w:p>
    <w:p>
      <w:pPr>
        <w:pStyle w:val="Normal"/>
        <w:widowControl w:val="false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Na podstawie art. 226, art. 227, art. 228, art. 230 ust. 6 i art. 243 ustawy z dnia 27 sierpnia 2009 r. o finansach publicznych (t.j. Dz. U. z 2017 r., poz. 2077) oraz art. 18 ust. 2 pkt 6 ustawy z dnia 8 marca 1990 r. o samorządzie gminnym (t.j. Dz. U. z 2017 r., poz. 1875, zm. poz.2232)  </w:t>
      </w:r>
    </w:p>
    <w:p>
      <w:pPr>
        <w:pStyle w:val="Normal"/>
        <w:widowControl w:val="false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both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                                </w:t>
      </w:r>
      <w:r>
        <w:rPr>
          <w:rFonts w:cs="Bookman Old Style" w:ascii="Bookman Old Style" w:hAnsi="Bookman Old Style"/>
          <w:b/>
          <w:bCs/>
          <w:sz w:val="24"/>
          <w:szCs w:val="24"/>
        </w:rPr>
        <w:t>Rada Miejska uchwala, co następuje: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1</w:t>
      </w:r>
    </w:p>
    <w:p>
      <w:pPr>
        <w:pStyle w:val="Normal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before="40" w:after="4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Wieloletnią Prognozę Finansową Gminy Miasto Mrągowo na lata 2018– 2025</w:t>
      </w:r>
      <w:r>
        <w:rPr>
          <w:rFonts w:cs="Bookman Old Style" w:ascii="Bookman Old Style" w:hAnsi="Bookman Old Style"/>
          <w:color w:val="000000"/>
          <w:sz w:val="24"/>
          <w:szCs w:val="24"/>
        </w:rPr>
        <w:t>, zgodnie z załącznikiem nr 1.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2</w:t>
      </w:r>
    </w:p>
    <w:p>
      <w:pPr>
        <w:pStyle w:val="Normal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before="40" w:after="4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Wykaz przedsięwzięć realizowanych w latach 2018–2025</w:t>
      </w:r>
      <w:r>
        <w:rPr>
          <w:rFonts w:cs="Bookman Old Style" w:ascii="Bookman Old Style" w:hAnsi="Bookman Old Style"/>
          <w:i/>
          <w:iCs/>
          <w:sz w:val="24"/>
          <w:szCs w:val="24"/>
        </w:rPr>
        <w:t xml:space="preserve">, </w:t>
      </w:r>
      <w:r>
        <w:rPr>
          <w:rFonts w:cs="Bookman Old Style" w:ascii="Bookman Old Style" w:hAnsi="Bookman Old Style"/>
          <w:sz w:val="24"/>
          <w:szCs w:val="24"/>
        </w:rPr>
        <w:t>zgodnie z załącznikiem nr 2.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3</w:t>
      </w:r>
    </w:p>
    <w:p>
      <w:pPr>
        <w:pStyle w:val="Normal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1. Upoważnia się Burmistrza Miasta do zaciągania zobowiązań związanych z realizacją przedsięwzięć, określonych w załączniku nr 2.</w:t>
      </w:r>
    </w:p>
    <w:p>
      <w:pPr>
        <w:pStyle w:val="Normal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2. Upoważnia się Burmistrza Miasta do zaciągania zobowiązań z tytułu umów, których realizacja w roku budżetowym i w latach następnych jest niezbędna do zapewnienia ciągłości działania jednostki i z których wynikające płatności wykraczają poza rok budżetowy.</w:t>
      </w:r>
    </w:p>
    <w:p>
      <w:pPr>
        <w:pStyle w:val="Normal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</w:r>
    </w:p>
    <w:p>
      <w:pPr>
        <w:pStyle w:val="Normal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</w:r>
    </w:p>
    <w:p>
      <w:pPr>
        <w:pStyle w:val="Normal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</w:r>
    </w:p>
    <w:p>
      <w:pPr>
        <w:pStyle w:val="Normal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bookmarkStart w:id="0" w:name="_GoBack"/>
      <w:bookmarkStart w:id="1" w:name="_GoBack"/>
      <w:bookmarkEnd w:id="1"/>
      <w:r>
        <w:rPr>
          <w:rFonts w:cs="Bookman Old Style" w:ascii="Bookman Old Style" w:hAnsi="Bookman Old Style"/>
          <w:b/>
          <w:bCs/>
          <w:sz w:val="24"/>
          <w:szCs w:val="24"/>
        </w:rPr>
      </w:r>
    </w:p>
    <w:p>
      <w:pPr>
        <w:pStyle w:val="Normal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</w:r>
    </w:p>
    <w:p>
      <w:pPr>
        <w:pStyle w:val="Normal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4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40" w:after="40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color w:val="000000"/>
          <w:sz w:val="24"/>
          <w:szCs w:val="24"/>
        </w:rPr>
        <w:t xml:space="preserve">1.Upoważnia się Burmistrza Miasta do: </w:t>
      </w:r>
    </w:p>
    <w:p>
      <w:pPr>
        <w:pStyle w:val="Normal"/>
        <w:numPr>
          <w:ilvl w:val="0"/>
          <w:numId w:val="1"/>
        </w:numPr>
        <w:tabs>
          <w:tab w:val="left" w:pos="36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pacing w:lineRule="auto" w:line="360" w:before="40" w:after="40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color w:val="000000"/>
          <w:sz w:val="24"/>
          <w:szCs w:val="24"/>
        </w:rPr>
        <w:t>przekazania upraw</w:t>
      </w:r>
      <w:r>
        <w:rPr>
          <w:rFonts w:cs="Bookman Old Style" w:ascii="Bookman Old Style" w:hAnsi="Bookman Old Style"/>
          <w:sz w:val="24"/>
          <w:szCs w:val="24"/>
        </w:rPr>
        <w:t>nień kierownikom jednostek organizacyjnych Gminy Miasto Mrągowo do zaciągania zobowiązań, związanych z realizacją przedsięwzięć, określonych w załączniku nr 2,</w:t>
      </w:r>
    </w:p>
    <w:p>
      <w:pPr>
        <w:pStyle w:val="Normal"/>
        <w:numPr>
          <w:ilvl w:val="0"/>
          <w:numId w:val="2"/>
        </w:numPr>
        <w:tabs>
          <w:tab w:val="left" w:pos="36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pacing w:lineRule="auto" w:line="360" w:before="40" w:after="4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przekazania uprawnień kierownikom jednostek organizacyjnych Gminy Miasto Mrągowo do zaciągania zobowiązań z tytułu umów, których realizacja w roku budżetowym i w latach następnych jest niezbędna do zapewnienia ciągłości działania jednostki i z których wynikające płatności wykraczają poza rok budżetowy.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5</w:t>
      </w:r>
    </w:p>
    <w:p>
      <w:pPr>
        <w:pStyle w:val="Normal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before="40" w:after="4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Wykonanie uchwały powierza się Burmistrzowi Miasta.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6</w:t>
      </w:r>
    </w:p>
    <w:p>
      <w:pPr>
        <w:pStyle w:val="Normal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before="40" w:after="4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Traci moc Uchwała Nr XXVII/1/2016 Rady Miejskiej w Mrągowie z dnia 21.12.2016 r. w sprawie uchwalenia Wieloletniej Prognozy Finansowej Gminy Miasto Mrągowo na lata 2017-2025.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7</w:t>
      </w:r>
    </w:p>
    <w:p>
      <w:pPr>
        <w:pStyle w:val="Normal"/>
        <w:tabs>
          <w:tab w:val="left" w:pos="5670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</w:tabs>
        <w:spacing w:before="0"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Uchwała wchodzi w życie z dniem podjęcia i podlega ogłoszeniu w sposób zwyczajowo przyjęty. </w:t>
      </w:r>
    </w:p>
    <w:p>
      <w:pPr>
        <w:pStyle w:val="Normal"/>
        <w:tabs>
          <w:tab w:val="left" w:pos="5670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</w:tabs>
        <w:spacing w:before="0"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>Przewodniczący Rady Miejskiej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Tadeusz Orzoł</w:t>
      </w:r>
    </w:p>
    <w:p>
      <w:pPr>
        <w:pStyle w:val="Normal"/>
        <w:widowControl w:val="false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417" w:right="1417" w:header="0" w:top="1417" w:footer="0" w:bottom="1417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Bookman Old Style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36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ascii="Bookman Old Style" w:hAnsi="Bookman Old Style" w:cs="Bookman Old Style"/>
        <w:color w:val="000000"/>
      </w:rPr>
    </w:lvl>
    <w:lvl w:ilvl="1">
      <w:start w:val="1"/>
      <w:numFmt w:val="decimal"/>
      <w:lvlText w:val="%2)"/>
      <w:lvlJc w:val="left"/>
      <w:pPr>
        <w:ind w:left="72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cs="Bookman Old Style"/>
        <w:color w:val="000000"/>
      </w:rPr>
    </w:lvl>
    <w:lvl w:ilvl="2">
      <w:start w:val="1"/>
      <w:numFmt w:val="decimal"/>
      <w:lvlText w:val="%3)"/>
      <w:lvlJc w:val="left"/>
      <w:pPr>
        <w:ind w:left="108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cs="Bookman Old Style"/>
        <w:color w:val="000000"/>
      </w:rPr>
    </w:lvl>
    <w:lvl w:ilvl="3">
      <w:start w:val="1"/>
      <w:numFmt w:val="decimal"/>
      <w:lvlText w:val="%4)"/>
      <w:lvlJc w:val="left"/>
      <w:pPr>
        <w:ind w:left="144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cs="Bookman Old Style"/>
        <w:color w:val="000000"/>
      </w:rPr>
    </w:lvl>
    <w:lvl w:ilvl="4">
      <w:start w:val="1"/>
      <w:numFmt w:val="decimal"/>
      <w:lvlText w:val="%5)"/>
      <w:lvlJc w:val="left"/>
      <w:pPr>
        <w:ind w:left="180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cs="Bookman Old Style"/>
        <w:color w:val="000000"/>
      </w:rPr>
    </w:lvl>
    <w:lvl w:ilvl="5">
      <w:start w:val="1"/>
      <w:numFmt w:val="decimal"/>
      <w:lvlText w:val="%6)"/>
      <w:lvlJc w:val="left"/>
      <w:pPr>
        <w:ind w:left="216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cs="Bookman Old Style"/>
        <w:color w:val="000000"/>
      </w:rPr>
    </w:lvl>
    <w:lvl w:ilvl="6">
      <w:start w:val="1"/>
      <w:numFmt w:val="decimal"/>
      <w:lvlText w:val="%7)"/>
      <w:lvlJc w:val="left"/>
      <w:pPr>
        <w:ind w:left="252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cs="Bookman Old Style"/>
        <w:color w:val="000000"/>
      </w:rPr>
    </w:lvl>
    <w:lvl w:ilvl="7">
      <w:start w:val="1"/>
      <w:numFmt w:val="decimal"/>
      <w:lvlText w:val="%8)"/>
      <w:lvlJc w:val="left"/>
      <w:pPr>
        <w:ind w:left="288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cs="Bookman Old Style"/>
        <w:color w:val="000000"/>
      </w:rPr>
    </w:lvl>
    <w:lvl w:ilvl="8">
      <w:start w:val="1"/>
      <w:numFmt w:val="decimal"/>
      <w:lvlText w:val="%9)"/>
      <w:lvlJc w:val="left"/>
      <w:pPr>
        <w:ind w:left="324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cs="Bookman Old Style"/>
        <w:color w:val="000000"/>
      </w:rPr>
    </w:lvl>
  </w:abstractNum>
  <w:abstractNum w:abstractNumId="2">
    <w:lvl w:ilvl="0">
      <w:start w:val="1"/>
      <w:numFmt w:val="decimal"/>
      <w:lvlText w:val="%1)"/>
      <w:lvlJc w:val="left"/>
      <w:pPr>
        <w:ind w:left="36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ascii="Bookman Old Style" w:hAnsi="Bookman Old Style" w:cs="Bookman Old Style"/>
        <w:color w:val="000000"/>
      </w:rPr>
    </w:lvl>
    <w:lvl w:ilvl="1">
      <w:start w:val="1"/>
      <w:numFmt w:val="decimal"/>
      <w:lvlText w:val="%2)"/>
      <w:lvlJc w:val="left"/>
      <w:pPr>
        <w:ind w:left="72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cs="Bookman Old Style"/>
        <w:color w:val="000000"/>
      </w:rPr>
    </w:lvl>
    <w:lvl w:ilvl="2">
      <w:start w:val="1"/>
      <w:numFmt w:val="decimal"/>
      <w:lvlText w:val="%3)"/>
      <w:lvlJc w:val="left"/>
      <w:pPr>
        <w:ind w:left="108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cs="Bookman Old Style"/>
        <w:color w:val="000000"/>
      </w:rPr>
    </w:lvl>
    <w:lvl w:ilvl="3">
      <w:start w:val="1"/>
      <w:numFmt w:val="decimal"/>
      <w:lvlText w:val="%4)"/>
      <w:lvlJc w:val="left"/>
      <w:pPr>
        <w:ind w:left="144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cs="Bookman Old Style"/>
        <w:color w:val="000000"/>
      </w:rPr>
    </w:lvl>
    <w:lvl w:ilvl="4">
      <w:start w:val="1"/>
      <w:numFmt w:val="decimal"/>
      <w:lvlText w:val="%5)"/>
      <w:lvlJc w:val="left"/>
      <w:pPr>
        <w:ind w:left="180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cs="Bookman Old Style"/>
        <w:color w:val="000000"/>
      </w:rPr>
    </w:lvl>
    <w:lvl w:ilvl="5">
      <w:start w:val="1"/>
      <w:numFmt w:val="decimal"/>
      <w:lvlText w:val="%6)"/>
      <w:lvlJc w:val="left"/>
      <w:pPr>
        <w:ind w:left="216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cs="Bookman Old Style"/>
        <w:color w:val="000000"/>
      </w:rPr>
    </w:lvl>
    <w:lvl w:ilvl="6">
      <w:start w:val="1"/>
      <w:numFmt w:val="decimal"/>
      <w:lvlText w:val="%7)"/>
      <w:lvlJc w:val="left"/>
      <w:pPr>
        <w:ind w:left="252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cs="Bookman Old Style"/>
        <w:color w:val="000000"/>
      </w:rPr>
    </w:lvl>
    <w:lvl w:ilvl="7">
      <w:start w:val="1"/>
      <w:numFmt w:val="decimal"/>
      <w:lvlText w:val="%8)"/>
      <w:lvlJc w:val="left"/>
      <w:pPr>
        <w:ind w:left="288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cs="Bookman Old Style"/>
        <w:color w:val="000000"/>
      </w:rPr>
    </w:lvl>
    <w:lvl w:ilvl="8">
      <w:start w:val="1"/>
      <w:numFmt w:val="decimal"/>
      <w:lvlText w:val="%9)"/>
      <w:lvlJc w:val="left"/>
      <w:pPr>
        <w:ind w:left="3240" w:hanging="360"/>
      </w:pPr>
      <w:rPr>
        <w:dstrike w:val="false"/>
        <w:strike w:val="false"/>
        <w:sz w:val="24"/>
        <w:i w:val="false"/>
        <w:u w:val="none"/>
        <w:b w:val="false"/>
        <w:szCs w:val="24"/>
        <w:iCs w:val="false"/>
        <w:bCs w:val="false"/>
        <w:rFonts w:cs="Bookman Old Style"/>
        <w:color w:val="000000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Bookman Old Style" w:hAnsi="Bookman Old Style"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2">
    <w:name w:val="ListLabel 2"/>
    <w:qFormat/>
    <w:rPr>
      <w:rFonts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3">
    <w:name w:val="ListLabel 3"/>
    <w:qFormat/>
    <w:rPr>
      <w:rFonts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4">
    <w:name w:val="ListLabel 4"/>
    <w:qFormat/>
    <w:rPr>
      <w:rFonts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5">
    <w:name w:val="ListLabel 5"/>
    <w:qFormat/>
    <w:rPr>
      <w:rFonts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6">
    <w:name w:val="ListLabel 6"/>
    <w:qFormat/>
    <w:rPr>
      <w:rFonts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7">
    <w:name w:val="ListLabel 7"/>
    <w:qFormat/>
    <w:rPr>
      <w:rFonts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8">
    <w:name w:val="ListLabel 8"/>
    <w:qFormat/>
    <w:rPr>
      <w:rFonts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9">
    <w:name w:val="ListLabel 9"/>
    <w:qFormat/>
    <w:rPr>
      <w:rFonts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10">
    <w:name w:val="ListLabel 10"/>
    <w:qFormat/>
    <w:rPr>
      <w:rFonts w:ascii="Bookman Old Style" w:hAnsi="Bookman Old Style"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11">
    <w:name w:val="ListLabel 11"/>
    <w:qFormat/>
    <w:rPr>
      <w:rFonts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12">
    <w:name w:val="ListLabel 12"/>
    <w:qFormat/>
    <w:rPr>
      <w:rFonts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13">
    <w:name w:val="ListLabel 13"/>
    <w:qFormat/>
    <w:rPr>
      <w:rFonts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14">
    <w:name w:val="ListLabel 14"/>
    <w:qFormat/>
    <w:rPr>
      <w:rFonts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15">
    <w:name w:val="ListLabel 15"/>
    <w:qFormat/>
    <w:rPr>
      <w:rFonts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16">
    <w:name w:val="ListLabel 16"/>
    <w:qFormat/>
    <w:rPr>
      <w:rFonts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17">
    <w:name w:val="ListLabel 17"/>
    <w:qFormat/>
    <w:rPr>
      <w:rFonts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character" w:styleId="ListLabel18">
    <w:name w:val="ListLabel 18"/>
    <w:qFormat/>
    <w:rPr>
      <w:rFonts w:cs="Bookman Old Style"/>
      <w:b w:val="false"/>
      <w:bCs w:val="false"/>
      <w:i w:val="false"/>
      <w:iCs w:val="false"/>
      <w:strike w:val="false"/>
      <w:dstrike w:val="false"/>
      <w:color w:val="000000"/>
      <w:sz w:val="24"/>
      <w:szCs w:val="24"/>
      <w:u w:val="non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LibreOffice/5.1.0.3$Windows_x86 LibreOffice_project/5e3e00a007d9b3b6efb6797a8b8e57b51ab1f737</Application>
  <Pages>2</Pages>
  <Words>301</Words>
  <Characters>1685</Characters>
  <CharactersWithSpaces>2025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2017-12-20T11:38:00Z</dcterms:created>
  <dc:creator>Ewelina Świder</dc:creator>
  <dc:description/>
  <dc:language>pl-PL</dc:language>
  <cp:lastModifiedBy/>
  <dcterms:modified xsi:type="dcterms:W3CDTF">2018-01-02T09:50:01Z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